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0" w:rsidRDefault="009B6F00" w:rsidP="009B6F00">
      <w:pPr>
        <w:jc w:val="center"/>
        <w:rPr>
          <w:rFonts w:ascii="黑体" w:eastAsia="黑体"/>
          <w:sz w:val="24"/>
        </w:rPr>
      </w:pPr>
      <w:r>
        <w:rPr>
          <w:rFonts w:ascii="黑体" w:eastAsia="黑体"/>
          <w:noProof/>
          <w:sz w:val="24"/>
        </w:rPr>
        <w:drawing>
          <wp:inline distT="0" distB="0" distL="0" distR="0">
            <wp:extent cx="704850" cy="638175"/>
            <wp:effectExtent l="19050" t="0" r="0" b="0"/>
            <wp:docPr id="1" name="图片 0" descr="标志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标志副本.jpg"/>
                    <pic:cNvPicPr>
                      <a:picLocks noChangeAspect="1" noChangeArrowheads="1"/>
                    </pic:cNvPicPr>
                  </pic:nvPicPr>
                  <pic:blipFill>
                    <a:blip r:embed="rId6"/>
                    <a:srcRect/>
                    <a:stretch>
                      <a:fillRect/>
                    </a:stretch>
                  </pic:blipFill>
                  <pic:spPr bwMode="auto">
                    <a:xfrm>
                      <a:off x="0" y="0"/>
                      <a:ext cx="704850" cy="638175"/>
                    </a:xfrm>
                    <a:prstGeom prst="rect">
                      <a:avLst/>
                    </a:prstGeom>
                    <a:noFill/>
                    <a:ln w="9525">
                      <a:noFill/>
                      <a:miter lim="800000"/>
                      <a:headEnd/>
                      <a:tailEnd/>
                    </a:ln>
                  </pic:spPr>
                </pic:pic>
              </a:graphicData>
            </a:graphic>
          </wp:inline>
        </w:drawing>
      </w:r>
      <w:r>
        <w:rPr>
          <w:rFonts w:ascii="仿宋_GB2312" w:eastAsia="仿宋_GB2312" w:hint="eastAsia"/>
          <w:sz w:val="24"/>
        </w:rPr>
        <w:t xml:space="preserve"> </w:t>
      </w:r>
      <w:r>
        <w:rPr>
          <w:rFonts w:ascii="黑体" w:eastAsia="黑体"/>
          <w:noProof/>
          <w:sz w:val="24"/>
        </w:rPr>
        <w:drawing>
          <wp:inline distT="0" distB="0" distL="0" distR="0">
            <wp:extent cx="3448050" cy="638175"/>
            <wp:effectExtent l="19050" t="0" r="0" b="0"/>
            <wp:docPr id="2" name="图片 1" descr="字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字副本.jpg"/>
                    <pic:cNvPicPr>
                      <a:picLocks noChangeAspect="1" noChangeArrowheads="1"/>
                    </pic:cNvPicPr>
                  </pic:nvPicPr>
                  <pic:blipFill>
                    <a:blip r:embed="rId7"/>
                    <a:srcRect/>
                    <a:stretch>
                      <a:fillRect/>
                    </a:stretch>
                  </pic:blipFill>
                  <pic:spPr bwMode="auto">
                    <a:xfrm>
                      <a:off x="0" y="0"/>
                      <a:ext cx="3448050" cy="638175"/>
                    </a:xfrm>
                    <a:prstGeom prst="rect">
                      <a:avLst/>
                    </a:prstGeom>
                    <a:noFill/>
                    <a:ln w="9525">
                      <a:noFill/>
                      <a:miter lim="800000"/>
                      <a:headEnd/>
                      <a:tailEnd/>
                    </a:ln>
                  </pic:spPr>
                </pic:pic>
              </a:graphicData>
            </a:graphic>
          </wp:inline>
        </w:drawing>
      </w:r>
    </w:p>
    <w:p w:rsidR="009B6F00" w:rsidRDefault="009B6F00" w:rsidP="009B6F00">
      <w:pPr>
        <w:jc w:val="center"/>
        <w:rPr>
          <w:rFonts w:ascii="黑体" w:eastAsia="黑体"/>
          <w:sz w:val="24"/>
        </w:rPr>
      </w:pPr>
    </w:p>
    <w:p w:rsidR="009B6F00" w:rsidRDefault="009B6F00" w:rsidP="009B6F00">
      <w:pPr>
        <w:jc w:val="center"/>
        <w:rPr>
          <w:rFonts w:ascii="黑体" w:eastAsia="黑体"/>
          <w:sz w:val="24"/>
        </w:rPr>
      </w:pPr>
    </w:p>
    <w:p w:rsidR="009B6F00" w:rsidRDefault="009B6F00" w:rsidP="009B6F00">
      <w:pPr>
        <w:jc w:val="center"/>
        <w:rPr>
          <w:rFonts w:ascii="黑体" w:eastAsia="黑体"/>
          <w:sz w:val="24"/>
        </w:rPr>
      </w:pPr>
    </w:p>
    <w:p w:rsidR="009B6F00" w:rsidRDefault="009B6F00" w:rsidP="009B6F00">
      <w:pPr>
        <w:jc w:val="center"/>
        <w:rPr>
          <w:rFonts w:ascii="黑体" w:eastAsia="黑体"/>
          <w:sz w:val="24"/>
        </w:rPr>
      </w:pPr>
    </w:p>
    <w:p w:rsidR="009B6F00" w:rsidRDefault="009B6F00" w:rsidP="009B6F00">
      <w:pPr>
        <w:jc w:val="center"/>
        <w:rPr>
          <w:rFonts w:ascii="黑体" w:eastAsia="黑体"/>
          <w:sz w:val="24"/>
        </w:rPr>
      </w:pPr>
    </w:p>
    <w:p w:rsidR="009B6F00" w:rsidRDefault="009B6F00" w:rsidP="009B6F00">
      <w:pPr>
        <w:jc w:val="center"/>
        <w:rPr>
          <w:rFonts w:ascii="黑体" w:eastAsia="黑体"/>
          <w:sz w:val="24"/>
        </w:rPr>
      </w:pPr>
    </w:p>
    <w:p w:rsidR="009B6F00" w:rsidRDefault="009B6F00" w:rsidP="009B6F00">
      <w:pPr>
        <w:jc w:val="center"/>
        <w:rPr>
          <w:rFonts w:ascii="黑体" w:eastAsia="黑体"/>
          <w:sz w:val="24"/>
        </w:rPr>
      </w:pPr>
    </w:p>
    <w:p w:rsidR="009B6F00" w:rsidRDefault="009B6F00" w:rsidP="009B6F00">
      <w:pPr>
        <w:jc w:val="cente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jc w:val="center"/>
        <w:rPr>
          <w:rFonts w:ascii="黑体" w:eastAsia="黑体"/>
          <w:b/>
          <w:sz w:val="36"/>
          <w:szCs w:val="36"/>
        </w:rPr>
      </w:pPr>
      <w:bookmarkStart w:id="0" w:name="_Toc414001739"/>
      <w:bookmarkStart w:id="1" w:name="_Toc414004795"/>
    </w:p>
    <w:p w:rsidR="009B6F00" w:rsidRDefault="009B6F00" w:rsidP="009B6F00">
      <w:pPr>
        <w:jc w:val="center"/>
        <w:rPr>
          <w:rFonts w:ascii="黑体" w:eastAsia="黑体"/>
          <w:b/>
          <w:sz w:val="72"/>
          <w:szCs w:val="72"/>
        </w:rPr>
      </w:pPr>
      <w:r>
        <w:rPr>
          <w:rFonts w:ascii="黑体" w:eastAsia="黑体" w:hint="eastAsia"/>
          <w:b/>
          <w:sz w:val="72"/>
          <w:szCs w:val="72"/>
        </w:rPr>
        <w:t>课程评估总结报告</w:t>
      </w:r>
    </w:p>
    <w:p w:rsidR="009B6F00" w:rsidRDefault="009B6F00" w:rsidP="009B6F00">
      <w:pPr>
        <w:jc w:val="center"/>
        <w:rPr>
          <w:rFonts w:ascii="黑体" w:eastAsia="黑体"/>
          <w:b/>
          <w:sz w:val="36"/>
          <w:szCs w:val="36"/>
        </w:rPr>
      </w:pPr>
    </w:p>
    <w:p w:rsidR="009B6F00" w:rsidRDefault="009B6F00" w:rsidP="009B6F00">
      <w:pPr>
        <w:jc w:val="center"/>
        <w:rPr>
          <w:rFonts w:ascii="黑体" w:eastAsia="黑体"/>
          <w:b/>
          <w:sz w:val="36"/>
          <w:szCs w:val="36"/>
        </w:rPr>
      </w:pPr>
    </w:p>
    <w:p w:rsidR="009B6F00" w:rsidRDefault="009B6F00" w:rsidP="009B6F00">
      <w:pPr>
        <w:jc w:val="center"/>
        <w:rPr>
          <w:rFonts w:ascii="黑体" w:eastAsia="黑体"/>
          <w:b/>
          <w:sz w:val="36"/>
          <w:szCs w:val="36"/>
        </w:rPr>
      </w:pPr>
    </w:p>
    <w:p w:rsidR="009B6F00" w:rsidRDefault="009B6F00" w:rsidP="009B6F00">
      <w:pPr>
        <w:jc w:val="center"/>
        <w:rPr>
          <w:rFonts w:ascii="黑体" w:eastAsia="黑体"/>
          <w:b/>
          <w:sz w:val="36"/>
          <w:szCs w:val="36"/>
        </w:rPr>
      </w:pPr>
    </w:p>
    <w:p w:rsidR="009B6F00" w:rsidRDefault="009B6F00" w:rsidP="009B6F00">
      <w:pPr>
        <w:jc w:val="center"/>
        <w:rPr>
          <w:rFonts w:ascii="黑体" w:eastAsia="黑体"/>
          <w:b/>
          <w:sz w:val="36"/>
          <w:szCs w:val="36"/>
        </w:rPr>
      </w:pPr>
    </w:p>
    <w:bookmarkEnd w:id="0"/>
    <w:bookmarkEnd w:id="1"/>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rPr>
          <w:rFonts w:ascii="仿宋_GB2312" w:eastAsia="仿宋_GB2312"/>
        </w:rPr>
      </w:pPr>
    </w:p>
    <w:p w:rsidR="009B6F00" w:rsidRDefault="009B6F00" w:rsidP="009B6F00">
      <w:pPr>
        <w:jc w:val="center"/>
        <w:rPr>
          <w:rFonts w:ascii="黑体" w:eastAsia="黑体"/>
          <w:b/>
          <w:sz w:val="32"/>
          <w:szCs w:val="32"/>
        </w:rPr>
      </w:pPr>
      <w:bookmarkStart w:id="2" w:name="_Toc414001740"/>
    </w:p>
    <w:p w:rsidR="009B6F00" w:rsidRDefault="009B6F00" w:rsidP="009B6F00">
      <w:pPr>
        <w:jc w:val="center"/>
        <w:rPr>
          <w:rFonts w:ascii="黑体" w:eastAsia="黑体"/>
          <w:b/>
          <w:sz w:val="32"/>
          <w:szCs w:val="32"/>
        </w:rPr>
      </w:pPr>
    </w:p>
    <w:bookmarkEnd w:id="2"/>
    <w:p w:rsidR="009B6F00" w:rsidRDefault="009B6F00" w:rsidP="009B6F00">
      <w:pPr>
        <w:jc w:val="center"/>
        <w:rPr>
          <w:rFonts w:ascii="黑体" w:eastAsia="黑体"/>
          <w:b/>
          <w:sz w:val="32"/>
          <w:szCs w:val="32"/>
        </w:rPr>
      </w:pPr>
      <w:r>
        <w:rPr>
          <w:rFonts w:ascii="黑体" w:eastAsia="黑体" w:hint="eastAsia"/>
          <w:b/>
          <w:sz w:val="32"/>
          <w:szCs w:val="32"/>
        </w:rPr>
        <w:t>教务处</w:t>
      </w:r>
    </w:p>
    <w:p w:rsidR="009B6F00" w:rsidRDefault="009B6F00" w:rsidP="009B6F00">
      <w:pPr>
        <w:jc w:val="center"/>
        <w:rPr>
          <w:rFonts w:ascii="黑体" w:eastAsia="黑体"/>
          <w:b/>
          <w:sz w:val="32"/>
          <w:szCs w:val="32"/>
        </w:rPr>
      </w:pPr>
      <w:r>
        <w:rPr>
          <w:rFonts w:ascii="黑体" w:eastAsia="黑体" w:hint="eastAsia"/>
          <w:b/>
          <w:sz w:val="32"/>
          <w:szCs w:val="32"/>
        </w:rPr>
        <w:t>二Ｏ一七年四月</w:t>
      </w:r>
    </w:p>
    <w:p w:rsidR="009B6F00" w:rsidRDefault="009B6F00" w:rsidP="009B6F00">
      <w:pPr>
        <w:spacing w:line="720" w:lineRule="exact"/>
        <w:jc w:val="center"/>
        <w:rPr>
          <w:rFonts w:ascii="黑体" w:eastAsia="黑体"/>
          <w:b/>
          <w:bCs/>
          <w:color w:val="000000"/>
          <w:sz w:val="28"/>
          <w:szCs w:val="28"/>
        </w:rPr>
      </w:pPr>
    </w:p>
    <w:p w:rsidR="009B6F00" w:rsidRPr="009020AC" w:rsidRDefault="009B6F00" w:rsidP="009B6F00">
      <w:pPr>
        <w:spacing w:line="720" w:lineRule="exact"/>
        <w:jc w:val="center"/>
        <w:rPr>
          <w:rFonts w:ascii="黑体" w:eastAsia="黑体"/>
          <w:b/>
          <w:bCs/>
          <w:color w:val="000000"/>
          <w:sz w:val="28"/>
          <w:szCs w:val="28"/>
        </w:rPr>
      </w:pPr>
    </w:p>
    <w:p w:rsidR="009B6F00" w:rsidRDefault="009B6F00" w:rsidP="009B6F00">
      <w:pPr>
        <w:jc w:val="center"/>
        <w:rPr>
          <w:rFonts w:eastAsia="仿宋_GB2312"/>
          <w:b/>
          <w:color w:val="000000"/>
          <w:sz w:val="28"/>
          <w:szCs w:val="28"/>
        </w:rPr>
      </w:pPr>
    </w:p>
    <w:p w:rsidR="009B6F00" w:rsidRDefault="009B6F00" w:rsidP="009B6F00">
      <w:pPr>
        <w:jc w:val="center"/>
        <w:rPr>
          <w:rFonts w:eastAsia="仿宋_GB2312"/>
          <w:b/>
          <w:color w:val="000000"/>
          <w:sz w:val="28"/>
          <w:szCs w:val="28"/>
        </w:rPr>
      </w:pPr>
    </w:p>
    <w:p w:rsidR="009B6F00" w:rsidRDefault="009B6F00" w:rsidP="009B6F00">
      <w:pPr>
        <w:jc w:val="center"/>
        <w:rPr>
          <w:rFonts w:eastAsia="仿宋_GB2312"/>
          <w:b/>
          <w:color w:val="000000"/>
          <w:sz w:val="28"/>
          <w:szCs w:val="28"/>
        </w:rPr>
      </w:pPr>
      <w:r>
        <w:rPr>
          <w:rFonts w:eastAsia="仿宋_GB2312" w:hint="eastAsia"/>
          <w:b/>
          <w:color w:val="000000"/>
          <w:sz w:val="28"/>
          <w:szCs w:val="28"/>
        </w:rPr>
        <w:lastRenderedPageBreak/>
        <w:t>目</w:t>
      </w:r>
      <w:r>
        <w:rPr>
          <w:rFonts w:eastAsia="仿宋_GB2312"/>
          <w:b/>
          <w:color w:val="000000"/>
          <w:sz w:val="28"/>
          <w:szCs w:val="28"/>
        </w:rPr>
        <w:t xml:space="preserve">      </w:t>
      </w:r>
      <w:r>
        <w:rPr>
          <w:rFonts w:eastAsia="仿宋_GB2312" w:hint="eastAsia"/>
          <w:b/>
          <w:color w:val="000000"/>
          <w:sz w:val="28"/>
          <w:szCs w:val="28"/>
        </w:rPr>
        <w:t>录</w:t>
      </w:r>
    </w:p>
    <w:p w:rsidR="009B6F00" w:rsidRDefault="009B6F00" w:rsidP="009B6F00">
      <w:pPr>
        <w:rPr>
          <w:color w:val="000000"/>
          <w:sz w:val="28"/>
          <w:szCs w:val="28"/>
        </w:rPr>
      </w:pPr>
    </w:p>
    <w:p w:rsidR="009B6F00" w:rsidRDefault="009B6F00" w:rsidP="009B6F00">
      <w:pPr>
        <w:spacing w:line="440" w:lineRule="exact"/>
        <w:ind w:firstLineChars="200" w:firstLine="560"/>
        <w:rPr>
          <w:rFonts w:ascii="宋体" w:hAnsi="宋体"/>
          <w:color w:val="000000"/>
          <w:sz w:val="28"/>
          <w:szCs w:val="28"/>
        </w:rPr>
      </w:pPr>
      <w:r>
        <w:rPr>
          <w:rFonts w:ascii="宋体" w:hAnsi="宋体" w:hint="eastAsia"/>
          <w:color w:val="000000"/>
          <w:sz w:val="28"/>
          <w:szCs w:val="28"/>
        </w:rPr>
        <w:t>一、课程评估结果汇总</w:t>
      </w:r>
    </w:p>
    <w:p w:rsidR="009B6F00" w:rsidRDefault="009B6F00" w:rsidP="009B6F00">
      <w:pPr>
        <w:spacing w:line="440" w:lineRule="exact"/>
        <w:ind w:firstLineChars="200" w:firstLine="560"/>
        <w:rPr>
          <w:rFonts w:ascii="宋体" w:hAnsi="宋体"/>
          <w:color w:val="000000"/>
          <w:sz w:val="28"/>
          <w:szCs w:val="28"/>
        </w:rPr>
      </w:pPr>
      <w:r>
        <w:rPr>
          <w:rFonts w:ascii="宋体" w:hAnsi="宋体" w:hint="eastAsia"/>
          <w:color w:val="000000"/>
          <w:sz w:val="28"/>
          <w:szCs w:val="28"/>
        </w:rPr>
        <w:t>二、课程评估二级指标评估结果综述</w:t>
      </w:r>
    </w:p>
    <w:p w:rsidR="009B6F00" w:rsidRDefault="009B6F00" w:rsidP="009B6F00">
      <w:pPr>
        <w:spacing w:line="440" w:lineRule="exact"/>
        <w:ind w:firstLineChars="498" w:firstLine="1394"/>
        <w:rPr>
          <w:rFonts w:ascii="宋体" w:hAnsi="宋体"/>
          <w:color w:val="000000"/>
          <w:sz w:val="28"/>
          <w:szCs w:val="28"/>
        </w:rPr>
      </w:pPr>
      <w:r>
        <w:rPr>
          <w:rFonts w:ascii="宋体" w:hAnsi="宋体" w:hint="eastAsia"/>
          <w:color w:val="000000"/>
          <w:sz w:val="28"/>
          <w:szCs w:val="28"/>
        </w:rPr>
        <w:t>1-1教学队伍（3个二级指标）</w:t>
      </w:r>
    </w:p>
    <w:p w:rsidR="009B6F00" w:rsidRDefault="009B6F00" w:rsidP="009B6F00">
      <w:pPr>
        <w:spacing w:line="440" w:lineRule="exact"/>
        <w:ind w:firstLineChars="498" w:firstLine="1394"/>
        <w:rPr>
          <w:rFonts w:ascii="宋体" w:hAnsi="宋体"/>
          <w:color w:val="000000"/>
          <w:sz w:val="28"/>
          <w:szCs w:val="28"/>
        </w:rPr>
      </w:pPr>
      <w:r>
        <w:rPr>
          <w:rFonts w:ascii="宋体" w:hAnsi="宋体" w:hint="eastAsia"/>
          <w:color w:val="000000"/>
          <w:sz w:val="28"/>
          <w:szCs w:val="28"/>
        </w:rPr>
        <w:t>1-2教学条件（4个二级指标）</w:t>
      </w:r>
    </w:p>
    <w:p w:rsidR="009B6F00" w:rsidRDefault="009B6F00" w:rsidP="009B6F00">
      <w:pPr>
        <w:spacing w:line="440" w:lineRule="exact"/>
        <w:ind w:firstLineChars="498" w:firstLine="1394"/>
        <w:rPr>
          <w:rFonts w:ascii="宋体" w:hAnsi="宋体"/>
          <w:color w:val="000000"/>
          <w:sz w:val="28"/>
          <w:szCs w:val="28"/>
        </w:rPr>
      </w:pPr>
      <w:r>
        <w:rPr>
          <w:rFonts w:ascii="宋体" w:hAnsi="宋体" w:hint="eastAsia"/>
          <w:color w:val="000000"/>
          <w:sz w:val="28"/>
          <w:szCs w:val="28"/>
        </w:rPr>
        <w:t>1-3教学内容（6个二级指标）</w:t>
      </w:r>
    </w:p>
    <w:p w:rsidR="009B6F00" w:rsidRDefault="009B6F00" w:rsidP="009B6F00">
      <w:pPr>
        <w:spacing w:line="440" w:lineRule="exact"/>
        <w:ind w:firstLineChars="498" w:firstLine="1394"/>
        <w:rPr>
          <w:rFonts w:ascii="宋体" w:hAnsi="宋体"/>
          <w:color w:val="000000"/>
          <w:sz w:val="28"/>
          <w:szCs w:val="28"/>
        </w:rPr>
      </w:pPr>
      <w:r>
        <w:rPr>
          <w:rFonts w:ascii="宋体" w:hAnsi="宋体" w:hint="eastAsia"/>
          <w:color w:val="000000"/>
          <w:sz w:val="28"/>
          <w:szCs w:val="28"/>
        </w:rPr>
        <w:t>1-4教学研究与改革（2个二级指标）</w:t>
      </w:r>
    </w:p>
    <w:p w:rsidR="009B6F00" w:rsidRDefault="009B6F00" w:rsidP="009B6F00">
      <w:pPr>
        <w:spacing w:line="440" w:lineRule="exact"/>
        <w:ind w:firstLineChars="498" w:firstLine="1394"/>
        <w:rPr>
          <w:rFonts w:ascii="宋体" w:hAnsi="宋体"/>
          <w:color w:val="000000"/>
          <w:sz w:val="28"/>
          <w:szCs w:val="28"/>
        </w:rPr>
      </w:pPr>
      <w:r>
        <w:rPr>
          <w:rFonts w:ascii="宋体" w:hAnsi="宋体" w:hint="eastAsia"/>
          <w:color w:val="000000"/>
          <w:sz w:val="28"/>
          <w:szCs w:val="28"/>
        </w:rPr>
        <w:t>1-5教学效果（1个二级指标）</w:t>
      </w:r>
    </w:p>
    <w:p w:rsidR="009B6F00" w:rsidRDefault="009B6F00" w:rsidP="009B6F00">
      <w:pPr>
        <w:spacing w:line="440" w:lineRule="exact"/>
        <w:ind w:firstLineChars="498" w:firstLine="1394"/>
        <w:rPr>
          <w:rFonts w:ascii="宋体" w:hAnsi="宋体"/>
          <w:color w:val="000000"/>
          <w:sz w:val="28"/>
          <w:szCs w:val="28"/>
        </w:rPr>
      </w:pPr>
      <w:r>
        <w:rPr>
          <w:rFonts w:ascii="宋体" w:hAnsi="宋体" w:hint="eastAsia"/>
          <w:color w:val="000000"/>
          <w:sz w:val="28"/>
          <w:szCs w:val="28"/>
        </w:rPr>
        <w:t>1-6特色项目</w:t>
      </w:r>
    </w:p>
    <w:p w:rsidR="009B6F00" w:rsidRDefault="009B6F00" w:rsidP="009B6F00">
      <w:pPr>
        <w:spacing w:line="440" w:lineRule="exact"/>
        <w:ind w:firstLineChars="200" w:firstLine="560"/>
        <w:rPr>
          <w:rFonts w:ascii="宋体" w:hAnsi="宋体"/>
          <w:color w:val="000000"/>
          <w:sz w:val="28"/>
          <w:szCs w:val="28"/>
        </w:rPr>
      </w:pPr>
      <w:r>
        <w:rPr>
          <w:rFonts w:ascii="宋体" w:hAnsi="宋体" w:hint="eastAsia"/>
          <w:color w:val="000000"/>
          <w:sz w:val="28"/>
          <w:szCs w:val="28"/>
        </w:rPr>
        <w:t>三、评估情况总结和评估结论</w:t>
      </w:r>
    </w:p>
    <w:p w:rsidR="009B6F00" w:rsidRDefault="009B6F00" w:rsidP="009B6F00">
      <w:pPr>
        <w:spacing w:line="440" w:lineRule="exact"/>
        <w:ind w:firstLineChars="200" w:firstLine="560"/>
        <w:rPr>
          <w:rFonts w:ascii="宋体" w:hAnsi="宋体"/>
          <w:color w:val="000000"/>
          <w:sz w:val="28"/>
          <w:szCs w:val="28"/>
        </w:rPr>
      </w:pPr>
      <w:r>
        <w:rPr>
          <w:rFonts w:ascii="宋体" w:hAnsi="宋体" w:hint="eastAsia"/>
          <w:color w:val="000000"/>
          <w:sz w:val="28"/>
          <w:szCs w:val="28"/>
        </w:rPr>
        <w:t>四、目前课程建设中存在的主要问题</w:t>
      </w:r>
    </w:p>
    <w:p w:rsidR="009B6F00" w:rsidRDefault="009B6F00" w:rsidP="009B6F00">
      <w:pPr>
        <w:spacing w:line="440" w:lineRule="exact"/>
        <w:ind w:firstLineChars="199" w:firstLine="557"/>
        <w:rPr>
          <w:rFonts w:ascii="宋体" w:hAnsi="宋体"/>
          <w:color w:val="000000"/>
          <w:sz w:val="28"/>
          <w:szCs w:val="28"/>
        </w:rPr>
      </w:pPr>
      <w:r>
        <w:rPr>
          <w:rFonts w:ascii="宋体" w:hAnsi="宋体" w:hint="eastAsia"/>
          <w:color w:val="000000"/>
          <w:sz w:val="28"/>
          <w:szCs w:val="28"/>
        </w:rPr>
        <w:t>五、针对各观测点存在主要问题的改进措施及思路</w:t>
      </w:r>
    </w:p>
    <w:p w:rsidR="009B6F00" w:rsidRPr="009020AC" w:rsidRDefault="009B6F00" w:rsidP="009B6F00">
      <w:pPr>
        <w:spacing w:line="440" w:lineRule="exact"/>
        <w:ind w:firstLineChars="200" w:firstLine="560"/>
        <w:rPr>
          <w:rFonts w:ascii="宋体" w:hAnsi="宋体"/>
          <w:color w:val="000000"/>
          <w:sz w:val="28"/>
          <w:szCs w:val="28"/>
        </w:rPr>
      </w:pPr>
      <w:bookmarkStart w:id="3" w:name="_GoBack"/>
      <w:bookmarkEnd w:id="3"/>
    </w:p>
    <w:p w:rsidR="009B6F00" w:rsidRPr="009020AC" w:rsidRDefault="009B6F00" w:rsidP="009020AC">
      <w:pPr>
        <w:spacing w:line="440" w:lineRule="exact"/>
        <w:ind w:firstLineChars="200" w:firstLine="560"/>
        <w:rPr>
          <w:rFonts w:ascii="宋体" w:hAnsi="宋体"/>
          <w:color w:val="000000"/>
          <w:sz w:val="28"/>
          <w:szCs w:val="28"/>
        </w:rPr>
      </w:pPr>
    </w:p>
    <w:p w:rsidR="009B6F00" w:rsidRPr="009020AC" w:rsidRDefault="009B6F00" w:rsidP="009020AC">
      <w:pPr>
        <w:spacing w:line="440" w:lineRule="exact"/>
        <w:ind w:firstLineChars="200" w:firstLine="560"/>
        <w:rPr>
          <w:rFonts w:ascii="宋体" w:hAnsi="宋体"/>
          <w:color w:val="000000"/>
          <w:sz w:val="28"/>
          <w:szCs w:val="28"/>
        </w:rPr>
      </w:pPr>
    </w:p>
    <w:p w:rsidR="009B6F00" w:rsidRDefault="009B6F00" w:rsidP="009B6F00">
      <w:pPr>
        <w:widowControl/>
        <w:jc w:val="left"/>
        <w:rPr>
          <w:rFonts w:eastAsia="方正小标宋简体"/>
          <w:color w:val="000000"/>
          <w:sz w:val="28"/>
          <w:szCs w:val="28"/>
        </w:rPr>
        <w:sectPr w:rsidR="009B6F00" w:rsidSect="004F2F73">
          <w:footerReference w:type="default" r:id="rId8"/>
          <w:pgSz w:w="11907" w:h="16840" w:code="9"/>
          <w:pgMar w:top="1701" w:right="1588" w:bottom="1134" w:left="1588" w:header="737" w:footer="964" w:gutter="0"/>
          <w:pgNumType w:start="0"/>
          <w:cols w:space="720"/>
          <w:titlePg/>
        </w:sectPr>
      </w:pPr>
    </w:p>
    <w:p w:rsidR="009B6F00" w:rsidRDefault="009B6F00" w:rsidP="009B6F00">
      <w:pPr>
        <w:ind w:firstLineChars="200" w:firstLine="562"/>
        <w:rPr>
          <w:rFonts w:ascii="宋体" w:hAnsi="宋体"/>
          <w:b/>
          <w:color w:val="000000"/>
          <w:sz w:val="28"/>
          <w:szCs w:val="28"/>
        </w:rPr>
      </w:pPr>
      <w:r>
        <w:rPr>
          <w:rFonts w:ascii="宋体" w:hAnsi="宋体" w:hint="eastAsia"/>
          <w:b/>
          <w:color w:val="000000"/>
          <w:sz w:val="28"/>
          <w:szCs w:val="28"/>
        </w:rPr>
        <w:lastRenderedPageBreak/>
        <w:t>一、课程评估结果汇总</w:t>
      </w:r>
    </w:p>
    <w:p w:rsidR="009B6F00" w:rsidRDefault="009B6F00" w:rsidP="009B6F00">
      <w:pPr>
        <w:widowControl/>
        <w:spacing w:line="360" w:lineRule="auto"/>
        <w:ind w:firstLineChars="200" w:firstLine="560"/>
        <w:jc w:val="left"/>
        <w:rPr>
          <w:rFonts w:ascii="宋体" w:hAnsi="宋体" w:cs="宋体"/>
          <w:sz w:val="28"/>
          <w:szCs w:val="28"/>
        </w:rPr>
      </w:pPr>
      <w:r>
        <w:rPr>
          <w:rFonts w:ascii="宋体" w:hAnsi="宋体" w:cs="宋体" w:hint="eastAsia"/>
          <w:kern w:val="0"/>
          <w:sz w:val="28"/>
          <w:szCs w:val="28"/>
        </w:rPr>
        <w:t>根据《教育部关于全面提高高等教育质量的若干意见》（教高[2012]4号）和《教育部关于开展普通高等学校本科教学工作审核评估的通知》（教高[2013]10号）文件精神。为进一步推动课程改革、促进课程建设、全面提高人才培养质量，曲靖师范学院制定了《</w:t>
      </w:r>
      <w:r>
        <w:rPr>
          <w:rFonts w:ascii="宋体" w:hAnsi="宋体" w:cs="宋体" w:hint="eastAsia"/>
          <w:sz w:val="28"/>
          <w:szCs w:val="28"/>
        </w:rPr>
        <w:t>曲靖师范学院“十三五”课程建设规划</w:t>
      </w:r>
      <w:r>
        <w:rPr>
          <w:rFonts w:ascii="宋体" w:hAnsi="宋体" w:cs="宋体" w:hint="eastAsia"/>
          <w:kern w:val="0"/>
          <w:sz w:val="28"/>
          <w:szCs w:val="28"/>
        </w:rPr>
        <w:t>》、</w:t>
      </w:r>
      <w:r>
        <w:rPr>
          <w:rFonts w:ascii="宋体" w:hAnsi="宋体" w:cs="宋体" w:hint="eastAsia"/>
          <w:sz w:val="28"/>
          <w:szCs w:val="28"/>
        </w:rPr>
        <w:t>《曲靖师范学院课程建设实施方案》和《曲靖师范学院课程建设标准》。由</w:t>
      </w:r>
      <w:r>
        <w:rPr>
          <w:rFonts w:ascii="宋体" w:hAnsi="宋体" w:cs="宋体" w:hint="eastAsia"/>
          <w:kern w:val="0"/>
          <w:sz w:val="28"/>
          <w:szCs w:val="28"/>
        </w:rPr>
        <w:t>教务处组织开展课程评估工作，课程评估范围和对象是从本科专业人才培养方案每个专业随机选择2门专业主干课程。</w:t>
      </w:r>
      <w:r>
        <w:rPr>
          <w:rFonts w:ascii="宋体" w:hAnsi="宋体" w:cs="宋体" w:hint="eastAsia"/>
          <w:sz w:val="28"/>
          <w:szCs w:val="28"/>
        </w:rPr>
        <w:t>课程评估以二级学院评估为主，各学院成立课程评估工作小组，制定评估方案，确定参评课程。学院课程评估组先对课程建设情况进行自我检查和总结，开展自评工作；根据课程自评及课程建设情况，对照指标体系，对参评课程进行综合评定，形成学院课程评估自评报告，在此基础上教务处组织评估专家组到学院进行评估，通过专家听取课程负责人陈述课程建设情况和自评报告、专家查阅核实相关支撑材料、专家提问和评议等环节做出课程评估结论。自2016年启动课程评估以来，教务处先后组织完成2批课程评估工作，共完成全校53个专业173门专业主干课程的评估，编制了173门课程的自评报告，形成了学校的课程评估报告。</w:t>
      </w:r>
    </w:p>
    <w:p w:rsidR="009B6F00" w:rsidRDefault="009B6F00" w:rsidP="009B6F00">
      <w:pPr>
        <w:widowControl/>
        <w:spacing w:line="360" w:lineRule="auto"/>
        <w:ind w:firstLineChars="645" w:firstLine="2072"/>
        <w:rPr>
          <w:rFonts w:ascii="宋体" w:hAnsi="宋体" w:cs="宋体"/>
          <w:b/>
          <w:sz w:val="32"/>
          <w:szCs w:val="32"/>
        </w:rPr>
      </w:pPr>
      <w:r>
        <w:rPr>
          <w:rFonts w:ascii="宋体" w:hAnsi="宋体" w:cs="宋体" w:hint="eastAsia"/>
          <w:b/>
          <w:sz w:val="32"/>
          <w:szCs w:val="32"/>
        </w:rPr>
        <w:t>课程评估结果统计明细表</w:t>
      </w:r>
    </w:p>
    <w:tbl>
      <w:tblPr>
        <w:tblW w:w="8655" w:type="dxa"/>
        <w:tblInd w:w="96" w:type="dxa"/>
        <w:tblLayout w:type="fixed"/>
        <w:tblLook w:val="04A0" w:firstRow="1" w:lastRow="0" w:firstColumn="1" w:lastColumn="0" w:noHBand="0" w:noVBand="1"/>
      </w:tblPr>
      <w:tblGrid>
        <w:gridCol w:w="863"/>
        <w:gridCol w:w="3542"/>
        <w:gridCol w:w="1274"/>
        <w:gridCol w:w="2976"/>
      </w:tblGrid>
      <w:tr w:rsidR="009B6F00" w:rsidTr="009B6F00">
        <w:trPr>
          <w:trHeight w:val="444"/>
        </w:trPr>
        <w:tc>
          <w:tcPr>
            <w:tcW w:w="863" w:type="dxa"/>
            <w:tcBorders>
              <w:top w:val="single" w:sz="4" w:space="0" w:color="auto"/>
              <w:left w:val="single" w:sz="4" w:space="0" w:color="auto"/>
              <w:bottom w:val="single" w:sz="4" w:space="0" w:color="auto"/>
              <w:right w:val="single" w:sz="4" w:space="0" w:color="auto"/>
            </w:tcBorders>
            <w:vAlign w:val="center"/>
            <w:hideMark/>
          </w:tcPr>
          <w:p w:rsidR="009B6F00" w:rsidRDefault="009B6F00">
            <w:pPr>
              <w:widowControl/>
              <w:jc w:val="left"/>
              <w:rPr>
                <w:rFonts w:ascii="宋体" w:hAnsi="宋体" w:cs="宋体"/>
                <w:b/>
                <w:bCs/>
                <w:color w:val="000000"/>
                <w:kern w:val="0"/>
                <w:sz w:val="24"/>
              </w:rPr>
            </w:pPr>
            <w:r>
              <w:rPr>
                <w:rFonts w:ascii="宋体" w:hAnsi="宋体" w:cs="宋体" w:hint="eastAsia"/>
                <w:b/>
                <w:bCs/>
                <w:color w:val="000000"/>
                <w:kern w:val="0"/>
                <w:sz w:val="24"/>
              </w:rPr>
              <w:t>序号</w:t>
            </w:r>
          </w:p>
        </w:tc>
        <w:tc>
          <w:tcPr>
            <w:tcW w:w="3544" w:type="dxa"/>
            <w:tcBorders>
              <w:top w:val="single" w:sz="4" w:space="0" w:color="auto"/>
              <w:left w:val="nil"/>
              <w:bottom w:val="single" w:sz="4" w:space="0" w:color="auto"/>
              <w:right w:val="single" w:sz="4" w:space="0" w:color="auto"/>
            </w:tcBorders>
            <w:vAlign w:val="center"/>
            <w:hideMark/>
          </w:tcPr>
          <w:p w:rsidR="009B6F00" w:rsidRDefault="009B6F00">
            <w:pPr>
              <w:widowControl/>
              <w:jc w:val="center"/>
              <w:rPr>
                <w:rFonts w:ascii="宋体" w:hAnsi="宋体" w:cs="宋体"/>
                <w:b/>
                <w:bCs/>
                <w:kern w:val="0"/>
                <w:sz w:val="24"/>
              </w:rPr>
            </w:pPr>
            <w:r>
              <w:rPr>
                <w:rFonts w:ascii="宋体" w:hAnsi="宋体" w:cs="宋体" w:hint="eastAsia"/>
                <w:b/>
                <w:bCs/>
                <w:kern w:val="0"/>
                <w:sz w:val="24"/>
              </w:rPr>
              <w:t>课程名称</w:t>
            </w:r>
          </w:p>
        </w:tc>
        <w:tc>
          <w:tcPr>
            <w:tcW w:w="1275" w:type="dxa"/>
            <w:tcBorders>
              <w:top w:val="single" w:sz="4" w:space="0" w:color="auto"/>
              <w:left w:val="nil"/>
              <w:bottom w:val="single" w:sz="4" w:space="0" w:color="auto"/>
              <w:right w:val="single" w:sz="4" w:space="0" w:color="auto"/>
            </w:tcBorders>
            <w:vAlign w:val="center"/>
            <w:hideMark/>
          </w:tcPr>
          <w:p w:rsidR="009B6F00" w:rsidRDefault="009B6F00">
            <w:pPr>
              <w:widowControl/>
              <w:jc w:val="center"/>
              <w:rPr>
                <w:rFonts w:ascii="宋体" w:hAnsi="宋体" w:cs="宋体"/>
                <w:b/>
                <w:bCs/>
                <w:kern w:val="0"/>
                <w:sz w:val="24"/>
              </w:rPr>
            </w:pPr>
            <w:r>
              <w:rPr>
                <w:rFonts w:ascii="宋体" w:hAnsi="宋体" w:cs="宋体" w:hint="eastAsia"/>
                <w:b/>
                <w:bCs/>
                <w:kern w:val="0"/>
                <w:sz w:val="24"/>
              </w:rPr>
              <w:t>评估等级</w:t>
            </w:r>
          </w:p>
        </w:tc>
        <w:tc>
          <w:tcPr>
            <w:tcW w:w="2977" w:type="dxa"/>
            <w:tcBorders>
              <w:top w:val="single" w:sz="4" w:space="0" w:color="auto"/>
              <w:left w:val="nil"/>
              <w:bottom w:val="single" w:sz="4" w:space="0" w:color="auto"/>
              <w:right w:val="single" w:sz="4" w:space="0" w:color="auto"/>
            </w:tcBorders>
            <w:vAlign w:val="center"/>
            <w:hideMark/>
          </w:tcPr>
          <w:p w:rsidR="009B6F00" w:rsidRDefault="009B6F00">
            <w:pPr>
              <w:widowControl/>
              <w:jc w:val="center"/>
              <w:rPr>
                <w:rFonts w:ascii="宋体" w:hAnsi="宋体" w:cs="宋体"/>
                <w:b/>
                <w:bCs/>
                <w:kern w:val="0"/>
                <w:sz w:val="24"/>
              </w:rPr>
            </w:pPr>
            <w:r>
              <w:rPr>
                <w:rFonts w:ascii="宋体" w:hAnsi="宋体" w:cs="宋体" w:hint="eastAsia"/>
                <w:b/>
                <w:bCs/>
                <w:kern w:val="0"/>
                <w:sz w:val="24"/>
              </w:rPr>
              <w:t>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马克思主义哲学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中国文化概论</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法理学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刑事诉讼法</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仪器分析（含实验）</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lastRenderedPageBreak/>
              <w:t>06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有机化学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物理化学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化工仪表及自动化</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09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光学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信息技术与课程整合</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田径</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基础英语</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分析化学实验</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有机化学实验</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数据库原理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java程序设计（1）</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java程序设计（2）</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优秀</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 xml:space="preserve">无机化学　</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化工原理</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学前教育学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学前儿童特殊教育</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小学数学教学与课程论</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小学语文教学与课程论</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24</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食品营养与卫生学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操作系统</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数据库原理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27</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物联网通信技术</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28</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RFID与智能卡技术</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29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计算机网络及试验</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软件工程</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管理信息系统</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管理学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网球</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34</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泰语听力</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泰语阅读</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高级英语</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37</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综合商务英语</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38</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商务英语阅读</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人文地理学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地貌学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音乐美学基础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世界民族音乐</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中国民族民间舞</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44</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舞蹈编导技法</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广播电视创意与写作</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广播电视艺术学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酒店管理概论</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中国地理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lastRenderedPageBreak/>
              <w:t>49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世界地理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区域分析与规划</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知识产权法</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物理化学实验</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结构化学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化工工艺学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工程制图</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中国文学通史3</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学前儿童保育学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财务管理（CPA）</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59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财务会计（Ⅱ）</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管理学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消费者行为学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微观经济学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宏观经济学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广告策划与创意</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传播学基础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对外汉语教学概论</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中国现当代文学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文学概论</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动物生物学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中学生物学活动与课程教学论</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生物化学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生态学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食品工艺学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程序设计与算法语言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排球</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综合英语</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英语听力</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基础英语</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商务英语视听说</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基础泰语</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泰语写作</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电磁学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高考物理解题</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多媒体技术基础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信号与系统</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C语言程序设计</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计算机组成原理与汇编语言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离散数学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89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C程序设计</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基础乐理（2）</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lastRenderedPageBreak/>
              <w:t>92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云南少数民族代表性舞蹈</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良好</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个案工作</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社会调查研究方法</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数学物理方法I</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教学系统设计</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97</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通信原理</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98</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数字信号处理</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单片机原理与应用</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单片机原理与应用实验</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生物化学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植物生物学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普通生物学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104</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分子生物学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食品分析与检验</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足球</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107</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运动解剖学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108</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酒店品牌建设与管理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109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地图学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地理信息系统</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酒店前厅与客房管理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市场调查与预测</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项目管理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114</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市场营销策划</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供应链管理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人力资源管理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117</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企业战略管理</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118</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经济法</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119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金融学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税法</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成本会计</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世界古代史</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中国古代史</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124</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现代汉语基础</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125</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秘书学概论</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126</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广告文案写作</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127</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平面广告设计</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128</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语言学概论</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129</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中国汉字学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130</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外国文学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131</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中国古代文学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土木工程图学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中国哲学史</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社会工作理论</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lastRenderedPageBreak/>
              <w:t>135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解析几何</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乐理与视唱2</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人员素质测评</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市场营销学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139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透视原理</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草图大师</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图形创意</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视觉传达设计计算机辅助设计</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世界近代史</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世界当代史</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汉语语音学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食品生物化学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常微分方程</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解析几何</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149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实变函数</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数学史与方法论</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数值分析</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数学建模</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概率论与数理统计</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体操</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篮球</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乒乓球</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体育学院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硬件描述语言</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和声学（2）</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159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舞蹈基本功训练</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形象设计</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音频技术常识（1）</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162</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自然地理学</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城市学院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163</w:t>
            </w:r>
          </w:p>
        </w:tc>
        <w:tc>
          <w:tcPr>
            <w:tcW w:w="3544"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版画基础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164</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中国画基础</w:t>
            </w:r>
          </w:p>
        </w:tc>
        <w:tc>
          <w:tcPr>
            <w:tcW w:w="1275" w:type="dxa"/>
            <w:tcBorders>
              <w:top w:val="nil"/>
              <w:left w:val="nil"/>
              <w:bottom w:val="single" w:sz="4" w:space="0" w:color="auto"/>
              <w:right w:val="single" w:sz="4" w:space="0" w:color="auto"/>
            </w:tcBorders>
            <w:shd w:val="clear" w:color="auto" w:fill="FFFFFF"/>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165</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社会主义市场经济学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166</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民法总论</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167</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社区工作</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168</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楷书临摹</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美术学院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169</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速记学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170</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公文写作</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171</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统计学</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172</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知识管理与知识工程</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r>
      <w:tr w:rsidR="009B6F00" w:rsidTr="009B6F00">
        <w:trPr>
          <w:trHeight w:val="312"/>
        </w:trPr>
        <w:tc>
          <w:tcPr>
            <w:tcW w:w="863" w:type="dxa"/>
            <w:tcBorders>
              <w:top w:val="nil"/>
              <w:left w:val="single" w:sz="4" w:space="0" w:color="auto"/>
              <w:bottom w:val="single" w:sz="4" w:space="0" w:color="auto"/>
              <w:right w:val="single" w:sz="4" w:space="0" w:color="auto"/>
            </w:tcBorders>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173</w:t>
            </w:r>
          </w:p>
        </w:tc>
        <w:tc>
          <w:tcPr>
            <w:tcW w:w="3544"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数字逻辑电路及实验</w:t>
            </w:r>
          </w:p>
        </w:tc>
        <w:tc>
          <w:tcPr>
            <w:tcW w:w="1275"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kern w:val="0"/>
                <w:sz w:val="24"/>
              </w:rPr>
            </w:pPr>
            <w:r>
              <w:rPr>
                <w:rFonts w:ascii="宋体" w:hAnsi="宋体" w:cs="宋体" w:hint="eastAsia"/>
                <w:kern w:val="0"/>
                <w:sz w:val="24"/>
              </w:rPr>
              <w:t>不合格</w:t>
            </w:r>
          </w:p>
        </w:tc>
        <w:tc>
          <w:tcPr>
            <w:tcW w:w="2977" w:type="dxa"/>
            <w:tcBorders>
              <w:top w:val="nil"/>
              <w:left w:val="nil"/>
              <w:bottom w:val="single" w:sz="4" w:space="0" w:color="auto"/>
              <w:right w:val="single" w:sz="4" w:space="0" w:color="auto"/>
            </w:tcBorders>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r>
    </w:tbl>
    <w:p w:rsidR="009B6F00" w:rsidRDefault="009B6F00" w:rsidP="009B6F00">
      <w:pPr>
        <w:ind w:firstLineChars="200" w:firstLine="562"/>
        <w:rPr>
          <w:rFonts w:ascii="宋体" w:hAnsi="宋体"/>
          <w:b/>
          <w:color w:val="FF0000"/>
          <w:sz w:val="28"/>
          <w:szCs w:val="28"/>
        </w:rPr>
      </w:pPr>
    </w:p>
    <w:p w:rsidR="009B6F00" w:rsidRDefault="009B6F00" w:rsidP="009B6F00">
      <w:pPr>
        <w:ind w:firstLineChars="200" w:firstLine="562"/>
        <w:rPr>
          <w:rFonts w:ascii="宋体" w:hAnsi="宋体"/>
          <w:b/>
          <w:sz w:val="28"/>
          <w:szCs w:val="28"/>
        </w:rPr>
      </w:pPr>
    </w:p>
    <w:p w:rsidR="009B6F00" w:rsidRDefault="009B6F00" w:rsidP="009B6F00">
      <w:pPr>
        <w:ind w:firstLineChars="200" w:firstLine="562"/>
        <w:rPr>
          <w:rFonts w:ascii="宋体" w:hAnsi="宋体"/>
          <w:sz w:val="28"/>
          <w:szCs w:val="28"/>
        </w:rPr>
      </w:pPr>
      <w:r>
        <w:rPr>
          <w:rFonts w:ascii="宋体" w:hAnsi="宋体" w:hint="eastAsia"/>
          <w:b/>
          <w:sz w:val="28"/>
          <w:szCs w:val="28"/>
        </w:rPr>
        <w:lastRenderedPageBreak/>
        <w:t>二、课程评估二级指标评估结果综述</w:t>
      </w:r>
    </w:p>
    <w:tbl>
      <w:tblPr>
        <w:tblW w:w="0" w:type="auto"/>
        <w:tblLayout w:type="fixed"/>
        <w:tblLook w:val="04A0" w:firstRow="1" w:lastRow="0" w:firstColumn="1" w:lastColumn="0" w:noHBand="0" w:noVBand="1"/>
      </w:tblPr>
      <w:tblGrid>
        <w:gridCol w:w="2042"/>
        <w:gridCol w:w="1821"/>
        <w:gridCol w:w="1821"/>
        <w:gridCol w:w="2269"/>
        <w:gridCol w:w="142"/>
      </w:tblGrid>
      <w:tr w:rsidR="009B6F00" w:rsidTr="009B6F00">
        <w:trPr>
          <w:trHeight w:val="540"/>
        </w:trPr>
        <w:tc>
          <w:tcPr>
            <w:tcW w:w="8095" w:type="dxa"/>
            <w:gridSpan w:val="5"/>
            <w:tcMar>
              <w:top w:w="15" w:type="dxa"/>
              <w:left w:w="15" w:type="dxa"/>
              <w:bottom w:w="15" w:type="dxa"/>
              <w:right w:w="15" w:type="dxa"/>
            </w:tcMar>
            <w:vAlign w:val="center"/>
            <w:hideMark/>
          </w:tcPr>
          <w:tbl>
            <w:tblPr>
              <w:tblW w:w="7935" w:type="dxa"/>
              <w:tblLayout w:type="fixed"/>
              <w:tblLook w:val="04A0" w:firstRow="1" w:lastRow="0" w:firstColumn="1" w:lastColumn="0" w:noHBand="0" w:noVBand="1"/>
            </w:tblPr>
            <w:tblGrid>
              <w:gridCol w:w="2410"/>
              <w:gridCol w:w="1558"/>
              <w:gridCol w:w="1416"/>
              <w:gridCol w:w="2551"/>
            </w:tblGrid>
            <w:tr w:rsidR="009B6F00">
              <w:trPr>
                <w:trHeight w:val="564"/>
              </w:trPr>
              <w:tc>
                <w:tcPr>
                  <w:tcW w:w="7939" w:type="dxa"/>
                  <w:gridSpan w:val="4"/>
                  <w:tcBorders>
                    <w:top w:val="nil"/>
                    <w:left w:val="nil"/>
                    <w:bottom w:val="single" w:sz="4" w:space="0" w:color="auto"/>
                    <w:right w:val="nil"/>
                  </w:tcBorders>
                  <w:noWrap/>
                  <w:vAlign w:val="center"/>
                  <w:hideMark/>
                </w:tcPr>
                <w:p w:rsidR="009B6F00" w:rsidRDefault="009B6F00">
                  <w:pPr>
                    <w:widowControl/>
                    <w:jc w:val="center"/>
                    <w:rPr>
                      <w:rFonts w:ascii="宋体" w:hAnsi="宋体" w:cs="宋体"/>
                      <w:color w:val="000000"/>
                      <w:kern w:val="0"/>
                      <w:sz w:val="28"/>
                      <w:szCs w:val="28"/>
                    </w:rPr>
                  </w:pPr>
                  <w:r>
                    <w:rPr>
                      <w:rFonts w:ascii="宋体" w:hAnsi="宋体" w:cs="宋体" w:hint="eastAsia"/>
                      <w:color w:val="000000"/>
                      <w:kern w:val="0"/>
                      <w:sz w:val="28"/>
                      <w:szCs w:val="28"/>
                    </w:rPr>
                    <w:t>1-1课程负责人统计表</w:t>
                  </w:r>
                </w:p>
              </w:tc>
            </w:tr>
            <w:tr w:rsidR="009B6F00">
              <w:trPr>
                <w:trHeight w:val="444"/>
              </w:trPr>
              <w:tc>
                <w:tcPr>
                  <w:tcW w:w="2411"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评估课程总门数</w:t>
                  </w:r>
                </w:p>
              </w:tc>
              <w:tc>
                <w:tcPr>
                  <w:tcW w:w="1559"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达到等级</w:t>
                  </w:r>
                </w:p>
              </w:tc>
              <w:tc>
                <w:tcPr>
                  <w:tcW w:w="1417"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课程门数</w:t>
                  </w:r>
                </w:p>
              </w:tc>
              <w:tc>
                <w:tcPr>
                  <w:tcW w:w="2552" w:type="dxa"/>
                  <w:tcBorders>
                    <w:top w:val="nil"/>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占参评课程百分比</w:t>
                  </w:r>
                </w:p>
              </w:tc>
            </w:tr>
            <w:tr w:rsidR="009B6F00">
              <w:trPr>
                <w:trHeight w:val="444"/>
              </w:trPr>
              <w:tc>
                <w:tcPr>
                  <w:tcW w:w="2411"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173</w:t>
                  </w:r>
                </w:p>
              </w:tc>
              <w:tc>
                <w:tcPr>
                  <w:tcW w:w="1559"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A级</w:t>
                  </w:r>
                </w:p>
              </w:tc>
              <w:tc>
                <w:tcPr>
                  <w:tcW w:w="1417"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79</w:t>
                  </w:r>
                </w:p>
              </w:tc>
              <w:tc>
                <w:tcPr>
                  <w:tcW w:w="2552" w:type="dxa"/>
                  <w:tcBorders>
                    <w:top w:val="nil"/>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45.66%</w:t>
                  </w:r>
                </w:p>
              </w:tc>
            </w:tr>
            <w:tr w:rsidR="009B6F00">
              <w:trPr>
                <w:trHeight w:val="444"/>
              </w:trPr>
              <w:tc>
                <w:tcPr>
                  <w:tcW w:w="2411"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173</w:t>
                  </w:r>
                </w:p>
              </w:tc>
              <w:tc>
                <w:tcPr>
                  <w:tcW w:w="1559"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B级</w:t>
                  </w:r>
                </w:p>
              </w:tc>
              <w:tc>
                <w:tcPr>
                  <w:tcW w:w="1417"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41</w:t>
                  </w:r>
                </w:p>
              </w:tc>
              <w:tc>
                <w:tcPr>
                  <w:tcW w:w="2552" w:type="dxa"/>
                  <w:tcBorders>
                    <w:top w:val="nil"/>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23.70%</w:t>
                  </w:r>
                </w:p>
              </w:tc>
            </w:tr>
            <w:tr w:rsidR="009B6F00">
              <w:trPr>
                <w:trHeight w:val="348"/>
              </w:trPr>
              <w:tc>
                <w:tcPr>
                  <w:tcW w:w="2411"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173</w:t>
                  </w:r>
                </w:p>
              </w:tc>
              <w:tc>
                <w:tcPr>
                  <w:tcW w:w="1559"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C级</w:t>
                  </w:r>
                </w:p>
              </w:tc>
              <w:tc>
                <w:tcPr>
                  <w:tcW w:w="1417"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42</w:t>
                  </w:r>
                </w:p>
              </w:tc>
              <w:tc>
                <w:tcPr>
                  <w:tcW w:w="2552" w:type="dxa"/>
                  <w:tcBorders>
                    <w:top w:val="nil"/>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24.28%</w:t>
                  </w:r>
                </w:p>
              </w:tc>
            </w:tr>
            <w:tr w:rsidR="009B6F00">
              <w:trPr>
                <w:trHeight w:val="348"/>
              </w:trPr>
              <w:tc>
                <w:tcPr>
                  <w:tcW w:w="2411"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173</w:t>
                  </w:r>
                </w:p>
              </w:tc>
              <w:tc>
                <w:tcPr>
                  <w:tcW w:w="1559"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D级</w:t>
                  </w:r>
                </w:p>
              </w:tc>
              <w:tc>
                <w:tcPr>
                  <w:tcW w:w="1417"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11</w:t>
                  </w:r>
                </w:p>
              </w:tc>
              <w:tc>
                <w:tcPr>
                  <w:tcW w:w="2552" w:type="dxa"/>
                  <w:tcBorders>
                    <w:top w:val="nil"/>
                    <w:left w:val="nil"/>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6.36%</w:t>
                  </w:r>
                </w:p>
              </w:tc>
            </w:tr>
          </w:tbl>
          <w:p w:rsidR="009B6F00" w:rsidRDefault="009B6F00">
            <w:pPr>
              <w:widowControl/>
              <w:ind w:firstLineChars="200" w:firstLine="560"/>
              <w:textAlignment w:val="center"/>
              <w:rPr>
                <w:rFonts w:ascii="宋体" w:hAnsi="宋体" w:cs="宋体"/>
                <w:color w:val="000000"/>
                <w:kern w:val="0"/>
                <w:sz w:val="28"/>
                <w:szCs w:val="28"/>
              </w:rPr>
            </w:pPr>
            <w:r>
              <w:rPr>
                <w:rFonts w:ascii="宋体" w:hAnsi="宋体" w:cs="宋体" w:hint="eastAsia"/>
                <w:color w:val="000000"/>
                <w:sz w:val="28"/>
                <w:szCs w:val="28"/>
              </w:rPr>
              <w:t>该指标主要观测课程负责人的学术水平、教学水平与教师风范。评估结果表明课程负责人为副教授或教授；担任本课程教学工作至少3年比例只能达到</w:t>
            </w:r>
            <w:r>
              <w:rPr>
                <w:rFonts w:ascii="宋体" w:hAnsi="宋体" w:cs="宋体" w:hint="eastAsia"/>
                <w:color w:val="000000"/>
                <w:kern w:val="0"/>
                <w:sz w:val="28"/>
                <w:szCs w:val="28"/>
              </w:rPr>
              <w:t>45.66%；</w:t>
            </w:r>
            <w:r>
              <w:rPr>
                <w:rFonts w:hint="eastAsia"/>
                <w:color w:val="000000"/>
                <w:sz w:val="28"/>
                <w:szCs w:val="28"/>
              </w:rPr>
              <w:t>课程负责人专业技术职务还是讲师或博士而且担任本课程教学工作至少</w:t>
            </w:r>
            <w:r>
              <w:rPr>
                <w:color w:val="000000"/>
                <w:sz w:val="28"/>
                <w:szCs w:val="28"/>
              </w:rPr>
              <w:t>2</w:t>
            </w:r>
            <w:r>
              <w:rPr>
                <w:rFonts w:hint="eastAsia"/>
                <w:color w:val="000000"/>
                <w:sz w:val="28"/>
                <w:szCs w:val="28"/>
              </w:rPr>
              <w:t>年比例达到</w:t>
            </w:r>
            <w:r>
              <w:rPr>
                <w:rFonts w:ascii="宋体" w:hAnsi="宋体" w:cs="宋体" w:hint="eastAsia"/>
                <w:color w:val="000000"/>
                <w:kern w:val="0"/>
                <w:sz w:val="28"/>
                <w:szCs w:val="28"/>
              </w:rPr>
              <w:t>6.36%，说明课程负责人的遴选还要进一步提高专业技术职务和学术水平</w:t>
            </w:r>
          </w:p>
          <w:p w:rsidR="009B6F00" w:rsidRDefault="009B6F00">
            <w:pPr>
              <w:widowControl/>
              <w:jc w:val="center"/>
              <w:rPr>
                <w:rFonts w:ascii="宋体" w:hAnsi="宋体" w:cs="宋体"/>
                <w:color w:val="000000"/>
                <w:kern w:val="0"/>
                <w:sz w:val="28"/>
                <w:szCs w:val="28"/>
              </w:rPr>
            </w:pPr>
            <w:r>
              <w:rPr>
                <w:rFonts w:ascii="宋体" w:hAnsi="宋体" w:cs="宋体" w:hint="eastAsia"/>
                <w:color w:val="000000"/>
                <w:kern w:val="0"/>
                <w:sz w:val="28"/>
                <w:szCs w:val="28"/>
              </w:rPr>
              <w:t>1-2★教学队伍结构及整体素质统计表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89</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51.45%</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55</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31.79%</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16</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9.25%</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6.94%</w:t>
            </w:r>
          </w:p>
        </w:tc>
      </w:tr>
      <w:tr w:rsidR="009B6F00" w:rsidTr="009B6F00">
        <w:trPr>
          <w:gridAfter w:val="1"/>
          <w:wAfter w:w="142" w:type="dxa"/>
          <w:trHeight w:val="540"/>
        </w:trPr>
        <w:tc>
          <w:tcPr>
            <w:tcW w:w="7953" w:type="dxa"/>
            <w:gridSpan w:val="4"/>
            <w:tcMar>
              <w:top w:w="15" w:type="dxa"/>
              <w:left w:w="15" w:type="dxa"/>
              <w:bottom w:w="15" w:type="dxa"/>
              <w:right w:w="15" w:type="dxa"/>
            </w:tcMar>
            <w:vAlign w:val="center"/>
            <w:hideMark/>
          </w:tcPr>
          <w:p w:rsidR="009B6F00" w:rsidRDefault="009B6F00">
            <w:pPr>
              <w:widowControl/>
              <w:ind w:firstLineChars="150" w:firstLine="420"/>
              <w:jc w:val="left"/>
              <w:rPr>
                <w:rFonts w:ascii="宋体" w:hAnsi="宋体" w:cs="宋体"/>
                <w:color w:val="000000"/>
                <w:kern w:val="0"/>
                <w:sz w:val="28"/>
                <w:szCs w:val="28"/>
              </w:rPr>
            </w:pPr>
            <w:r>
              <w:rPr>
                <w:rFonts w:ascii="宋体" w:hAnsi="宋体" w:cs="宋体" w:hint="eastAsia"/>
                <w:color w:val="000000"/>
                <w:kern w:val="0"/>
                <w:sz w:val="28"/>
                <w:szCs w:val="28"/>
              </w:rPr>
              <w:t>该指标主要观测课程组教师队伍在</w:t>
            </w:r>
            <w:r>
              <w:rPr>
                <w:rFonts w:ascii="宋体" w:hAnsi="宋体" w:cs="宋体" w:hint="eastAsia"/>
                <w:color w:val="000000"/>
                <w:sz w:val="28"/>
                <w:szCs w:val="28"/>
              </w:rPr>
              <w:t>知识结构、年龄结构、人员配置与中青年教师培养计划及效果。评估结果表明课程组教师队伍结构及素质尚有</w:t>
            </w:r>
            <w:r>
              <w:rPr>
                <w:rFonts w:ascii="宋体" w:hAnsi="宋体" w:cs="宋体" w:hint="eastAsia"/>
                <w:color w:val="000000"/>
                <w:kern w:val="0"/>
                <w:sz w:val="28"/>
                <w:szCs w:val="28"/>
              </w:rPr>
              <w:t>6.94%达不到课程建设的要求。</w:t>
            </w:r>
          </w:p>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1-3教师学术水平统计表</w:t>
            </w:r>
          </w:p>
        </w:tc>
      </w:tr>
      <w:tr w:rsidR="009B6F00" w:rsidTr="009B6F00">
        <w:trPr>
          <w:gridAfter w:val="1"/>
          <w:wAfter w:w="142" w:type="dxa"/>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gridAfter w:val="1"/>
          <w:wAfter w:w="142" w:type="dxa"/>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97</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56.07%</w:t>
            </w:r>
          </w:p>
        </w:tc>
      </w:tr>
      <w:tr w:rsidR="009B6F00" w:rsidTr="009B6F00">
        <w:trPr>
          <w:gridAfter w:val="1"/>
          <w:wAfter w:w="142" w:type="dxa"/>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42</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24.28%</w:t>
            </w:r>
          </w:p>
        </w:tc>
      </w:tr>
      <w:tr w:rsidR="009B6F00" w:rsidTr="009B6F00">
        <w:trPr>
          <w:gridAfter w:val="1"/>
          <w:wAfter w:w="142" w:type="dxa"/>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19</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10.98%</w:t>
            </w:r>
          </w:p>
        </w:tc>
      </w:tr>
      <w:tr w:rsidR="009B6F00" w:rsidTr="009B6F00">
        <w:trPr>
          <w:gridAfter w:val="1"/>
          <w:wAfter w:w="142" w:type="dxa"/>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14</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8.09%</w:t>
            </w:r>
          </w:p>
        </w:tc>
      </w:tr>
    </w:tbl>
    <w:p w:rsidR="009B6F00" w:rsidRDefault="009B6F00" w:rsidP="009B6F00">
      <w:pPr>
        <w:spacing w:line="360" w:lineRule="auto"/>
        <w:rPr>
          <w:rFonts w:ascii="宋体" w:hAnsi="宋体"/>
          <w:sz w:val="28"/>
          <w:szCs w:val="28"/>
        </w:rPr>
      </w:pPr>
      <w:r>
        <w:rPr>
          <w:rFonts w:ascii="宋体" w:hAnsi="宋体" w:hint="eastAsia"/>
          <w:color w:val="FF0000"/>
          <w:sz w:val="28"/>
          <w:szCs w:val="28"/>
        </w:rPr>
        <w:t xml:space="preserve">    </w:t>
      </w:r>
      <w:r>
        <w:rPr>
          <w:rFonts w:ascii="宋体" w:hAnsi="宋体" w:hint="eastAsia"/>
          <w:sz w:val="28"/>
          <w:szCs w:val="28"/>
        </w:rPr>
        <w:t>该指标主要观测</w:t>
      </w:r>
      <w:r>
        <w:rPr>
          <w:rFonts w:ascii="宋体" w:hAnsi="宋体" w:cs="宋体" w:hint="eastAsia"/>
          <w:sz w:val="28"/>
          <w:szCs w:val="28"/>
        </w:rPr>
        <w:t>教师科研成果。评估结果表明近3年教师在发表或出版论文（专著）,获得校级科研项目或校级以上科研项目方面还有</w:t>
      </w:r>
      <w:r>
        <w:rPr>
          <w:rFonts w:ascii="宋体" w:hAnsi="宋体" w:cs="宋体" w:hint="eastAsia"/>
          <w:kern w:val="0"/>
          <w:sz w:val="28"/>
          <w:szCs w:val="28"/>
        </w:rPr>
        <w:t>8.09%达不到课程建设的要求。</w:t>
      </w:r>
    </w:p>
    <w:tbl>
      <w:tblPr>
        <w:tblW w:w="0" w:type="auto"/>
        <w:tblLayout w:type="fixed"/>
        <w:tblLook w:val="04A0" w:firstRow="1" w:lastRow="0" w:firstColumn="1" w:lastColumn="0" w:noHBand="0" w:noVBand="1"/>
      </w:tblPr>
      <w:tblGrid>
        <w:gridCol w:w="2035"/>
        <w:gridCol w:w="1813"/>
        <w:gridCol w:w="1840"/>
        <w:gridCol w:w="2265"/>
      </w:tblGrid>
      <w:tr w:rsidR="009B6F00" w:rsidTr="009B6F00">
        <w:trPr>
          <w:trHeight w:val="540"/>
        </w:trPr>
        <w:tc>
          <w:tcPr>
            <w:tcW w:w="7953"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2-1★教学文件统计表</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148</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85.55%</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6.94%</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6.94%</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0.58%</w:t>
            </w:r>
          </w:p>
        </w:tc>
      </w:tr>
    </w:tbl>
    <w:p w:rsidR="009B6F00" w:rsidRDefault="009B6F00" w:rsidP="009B6F00">
      <w:pPr>
        <w:spacing w:line="360" w:lineRule="exact"/>
        <w:ind w:firstLineChars="200" w:firstLine="560"/>
        <w:rPr>
          <w:rFonts w:ascii="宋体" w:hAnsi="宋体" w:cs="宋体"/>
          <w:sz w:val="28"/>
          <w:szCs w:val="28"/>
        </w:rPr>
      </w:pPr>
      <w:r>
        <w:rPr>
          <w:rFonts w:ascii="宋体" w:hAnsi="宋体" w:hint="eastAsia"/>
          <w:sz w:val="28"/>
          <w:szCs w:val="28"/>
        </w:rPr>
        <w:t>该指标主要观测课程建设在</w:t>
      </w:r>
      <w:r>
        <w:rPr>
          <w:rFonts w:ascii="宋体" w:hAnsi="宋体" w:cs="宋体" w:hint="eastAsia"/>
          <w:sz w:val="28"/>
          <w:szCs w:val="28"/>
        </w:rPr>
        <w:t>教学大纲、考试大纲、实验大纲、教学进度和教案等教学文件内容的完备、格式的规范和执行是否严格。评估结果表明</w:t>
      </w:r>
      <w:r>
        <w:rPr>
          <w:rFonts w:ascii="宋体" w:hAnsi="宋体" w:cs="宋体" w:hint="eastAsia"/>
          <w:kern w:val="0"/>
          <w:sz w:val="28"/>
          <w:szCs w:val="28"/>
        </w:rPr>
        <w:t>99.42%的参评课程达到了课程建设的要求。</w:t>
      </w:r>
    </w:p>
    <w:tbl>
      <w:tblPr>
        <w:tblW w:w="0" w:type="auto"/>
        <w:tblLayout w:type="fixed"/>
        <w:tblLook w:val="04A0" w:firstRow="1" w:lastRow="0" w:firstColumn="1" w:lastColumn="0" w:noHBand="0" w:noVBand="1"/>
      </w:tblPr>
      <w:tblGrid>
        <w:gridCol w:w="2035"/>
        <w:gridCol w:w="1813"/>
        <w:gridCol w:w="1840"/>
        <w:gridCol w:w="2265"/>
      </w:tblGrid>
      <w:tr w:rsidR="009B6F00" w:rsidTr="009B6F00">
        <w:trPr>
          <w:trHeight w:val="540"/>
        </w:trPr>
        <w:tc>
          <w:tcPr>
            <w:tcW w:w="7953"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2-2教材、教学参考书统计表</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127</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73.41%</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34</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19.65%</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6.36%</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0.58%</w:t>
            </w:r>
          </w:p>
        </w:tc>
      </w:tr>
    </w:tbl>
    <w:p w:rsidR="009B6F00" w:rsidRDefault="009B6F00" w:rsidP="009B6F00">
      <w:pPr>
        <w:spacing w:line="360" w:lineRule="exact"/>
        <w:ind w:firstLineChars="200" w:firstLine="560"/>
        <w:rPr>
          <w:rFonts w:ascii="宋体" w:hAnsi="宋体" w:cs="宋体"/>
          <w:sz w:val="28"/>
          <w:szCs w:val="28"/>
        </w:rPr>
      </w:pPr>
      <w:r>
        <w:rPr>
          <w:rFonts w:ascii="宋体" w:hAnsi="宋体" w:hint="eastAsia"/>
          <w:sz w:val="28"/>
          <w:szCs w:val="28"/>
        </w:rPr>
        <w:t>该指标主要观测课程建设在</w:t>
      </w:r>
      <w:r>
        <w:rPr>
          <w:rFonts w:ascii="宋体" w:hAnsi="宋体" w:cs="宋体" w:hint="eastAsia"/>
          <w:color w:val="000000"/>
          <w:sz w:val="28"/>
          <w:szCs w:val="28"/>
        </w:rPr>
        <w:t>教材、教学参考书的选择。评估结果表明</w:t>
      </w:r>
      <w:r>
        <w:rPr>
          <w:rFonts w:ascii="宋体" w:hAnsi="宋体" w:cs="宋体" w:hint="eastAsia"/>
          <w:kern w:val="0"/>
          <w:sz w:val="28"/>
          <w:szCs w:val="28"/>
        </w:rPr>
        <w:t>99.42%的参评课程达到了课程建设的要求，</w:t>
      </w:r>
      <w:r>
        <w:rPr>
          <w:rFonts w:hint="eastAsia"/>
          <w:color w:val="000000"/>
          <w:sz w:val="28"/>
          <w:szCs w:val="28"/>
        </w:rPr>
        <w:t>选用教育部或省、部推荐教材</w:t>
      </w:r>
      <w:r>
        <w:rPr>
          <w:color w:val="000000"/>
          <w:sz w:val="28"/>
          <w:szCs w:val="28"/>
        </w:rPr>
        <w:t>,</w:t>
      </w:r>
      <w:r>
        <w:rPr>
          <w:rFonts w:hint="eastAsia"/>
          <w:color w:val="000000"/>
          <w:sz w:val="28"/>
          <w:szCs w:val="28"/>
        </w:rPr>
        <w:t>全国优秀教材或选用国内外著名高校撰写的面向</w:t>
      </w:r>
      <w:r>
        <w:rPr>
          <w:color w:val="000000"/>
          <w:sz w:val="28"/>
          <w:szCs w:val="28"/>
        </w:rPr>
        <w:t>21</w:t>
      </w:r>
      <w:r>
        <w:rPr>
          <w:rFonts w:hint="eastAsia"/>
          <w:color w:val="000000"/>
          <w:sz w:val="28"/>
          <w:szCs w:val="28"/>
        </w:rPr>
        <w:t>世纪教材和自编获奖教材；使用教材是近三年出版的优秀新教材，并且配备有教学参考书，提供了有效的课程教学文献资料或资料清单。</w:t>
      </w:r>
    </w:p>
    <w:tbl>
      <w:tblPr>
        <w:tblW w:w="0" w:type="auto"/>
        <w:tblLayout w:type="fixed"/>
        <w:tblLook w:val="04A0" w:firstRow="1" w:lastRow="0" w:firstColumn="1" w:lastColumn="0" w:noHBand="0" w:noVBand="1"/>
      </w:tblPr>
      <w:tblGrid>
        <w:gridCol w:w="2035"/>
        <w:gridCol w:w="1813"/>
        <w:gridCol w:w="1840"/>
        <w:gridCol w:w="2407"/>
      </w:tblGrid>
      <w:tr w:rsidR="009B6F00" w:rsidTr="009B6F00">
        <w:trPr>
          <w:trHeight w:val="540"/>
        </w:trPr>
        <w:tc>
          <w:tcPr>
            <w:tcW w:w="8095"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2-3★教学设施统计表</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122</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70.52%</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40</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23.12%</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5.78%</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0.58%</w:t>
            </w:r>
          </w:p>
        </w:tc>
      </w:tr>
    </w:tbl>
    <w:p w:rsidR="009B6F00" w:rsidRDefault="009B6F00" w:rsidP="009B6F00">
      <w:pPr>
        <w:spacing w:line="360" w:lineRule="exact"/>
        <w:ind w:firstLineChars="200" w:firstLine="560"/>
        <w:rPr>
          <w:rFonts w:ascii="宋体" w:hAnsi="宋体" w:cs="宋体"/>
          <w:sz w:val="28"/>
          <w:szCs w:val="28"/>
        </w:rPr>
      </w:pPr>
      <w:r>
        <w:rPr>
          <w:rFonts w:ascii="宋体" w:hAnsi="宋体" w:hint="eastAsia"/>
          <w:sz w:val="28"/>
          <w:szCs w:val="28"/>
        </w:rPr>
        <w:t>该指标主要观测课程建设在</w:t>
      </w:r>
      <w:r>
        <w:rPr>
          <w:rFonts w:ascii="宋体" w:hAnsi="宋体" w:cs="宋体" w:hint="eastAsia"/>
          <w:color w:val="000000"/>
          <w:sz w:val="28"/>
          <w:szCs w:val="28"/>
        </w:rPr>
        <w:t>仪器设备、教学场地、图书资料是否能够满足教学需求。评估结果表明</w:t>
      </w:r>
      <w:r>
        <w:rPr>
          <w:rFonts w:ascii="宋体" w:hAnsi="宋体" w:cs="宋体" w:hint="eastAsia"/>
          <w:kern w:val="0"/>
          <w:sz w:val="28"/>
          <w:szCs w:val="28"/>
        </w:rPr>
        <w:t>99.42%的教学实施能够满足课程教学的需要。</w:t>
      </w:r>
    </w:p>
    <w:tbl>
      <w:tblPr>
        <w:tblW w:w="0" w:type="auto"/>
        <w:tblLayout w:type="fixed"/>
        <w:tblLook w:val="04A0" w:firstRow="1" w:lastRow="0" w:firstColumn="1" w:lastColumn="0" w:noHBand="0" w:noVBand="1"/>
      </w:tblPr>
      <w:tblGrid>
        <w:gridCol w:w="2042"/>
        <w:gridCol w:w="1821"/>
        <w:gridCol w:w="1821"/>
        <w:gridCol w:w="2269"/>
      </w:tblGrid>
      <w:tr w:rsidR="009B6F00" w:rsidTr="009B6F00">
        <w:trPr>
          <w:trHeight w:val="540"/>
        </w:trPr>
        <w:tc>
          <w:tcPr>
            <w:tcW w:w="7953"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2-4★网络教学环境统计表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54</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31.21%</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60</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34.68%</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41</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27.17%</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6.94%</w:t>
            </w:r>
          </w:p>
        </w:tc>
      </w:tr>
    </w:tbl>
    <w:p w:rsidR="009B6F00" w:rsidRDefault="009B6F00" w:rsidP="009B6F00">
      <w:pPr>
        <w:spacing w:line="360" w:lineRule="auto"/>
        <w:ind w:firstLineChars="200" w:firstLine="560"/>
        <w:rPr>
          <w:rFonts w:ascii="宋体" w:hAnsi="宋体"/>
          <w:color w:val="FF0000"/>
          <w:sz w:val="28"/>
          <w:szCs w:val="28"/>
        </w:rPr>
      </w:pPr>
      <w:r>
        <w:rPr>
          <w:rFonts w:ascii="宋体" w:hAnsi="宋体" w:hint="eastAsia"/>
          <w:sz w:val="28"/>
          <w:szCs w:val="28"/>
        </w:rPr>
        <w:t>该指标主要观测网络教学环境在课程教学方面的满足度。评估结果表明</w:t>
      </w:r>
      <w:r>
        <w:rPr>
          <w:rFonts w:ascii="宋体" w:hAnsi="宋体" w:cs="宋体" w:hint="eastAsia"/>
          <w:color w:val="000000"/>
          <w:kern w:val="0"/>
          <w:sz w:val="28"/>
          <w:szCs w:val="28"/>
        </w:rPr>
        <w:t>93.06%</w:t>
      </w:r>
      <w:r>
        <w:rPr>
          <w:rFonts w:ascii="宋体" w:hAnsi="宋体" w:cs="宋体" w:hint="eastAsia"/>
          <w:color w:val="000000"/>
          <w:sz w:val="28"/>
          <w:szCs w:val="28"/>
        </w:rPr>
        <w:t>教学网站或教学资源库，能经常更新，运行机制良好，在教学中确实发挥了作用。</w:t>
      </w:r>
    </w:p>
    <w:tbl>
      <w:tblPr>
        <w:tblW w:w="0" w:type="auto"/>
        <w:tblLayout w:type="fixed"/>
        <w:tblLook w:val="04A0" w:firstRow="1" w:lastRow="0" w:firstColumn="1" w:lastColumn="0" w:noHBand="0" w:noVBand="1"/>
      </w:tblPr>
      <w:tblGrid>
        <w:gridCol w:w="2042"/>
        <w:gridCol w:w="1821"/>
        <w:gridCol w:w="1821"/>
        <w:gridCol w:w="2411"/>
      </w:tblGrid>
      <w:tr w:rsidR="009B6F00" w:rsidTr="009B6F00">
        <w:trPr>
          <w:trHeight w:val="540"/>
        </w:trPr>
        <w:tc>
          <w:tcPr>
            <w:tcW w:w="8095"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3-1★教学内容与课程体系改革统计表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77</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44.51%</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68</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39.31%</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19</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16.18%</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0.00%</w:t>
            </w:r>
          </w:p>
        </w:tc>
      </w:tr>
    </w:tbl>
    <w:p w:rsidR="009B6F00" w:rsidRDefault="009B6F00" w:rsidP="009B6F00">
      <w:pPr>
        <w:spacing w:line="360" w:lineRule="exact"/>
        <w:ind w:firstLineChars="200" w:firstLine="560"/>
        <w:rPr>
          <w:rFonts w:ascii="宋体" w:hAnsi="宋体"/>
          <w:color w:val="FF0000"/>
          <w:sz w:val="28"/>
          <w:szCs w:val="28"/>
        </w:rPr>
      </w:pPr>
      <w:r>
        <w:rPr>
          <w:rFonts w:ascii="宋体" w:hAnsi="宋体" w:hint="eastAsia"/>
          <w:sz w:val="28"/>
          <w:szCs w:val="28"/>
        </w:rPr>
        <w:t>该指标主要观测课程教学</w:t>
      </w:r>
      <w:r>
        <w:rPr>
          <w:rFonts w:ascii="宋体" w:hAnsi="宋体" w:cs="宋体" w:hint="eastAsia"/>
          <w:color w:val="000000"/>
          <w:sz w:val="28"/>
          <w:szCs w:val="28"/>
        </w:rPr>
        <w:t>改革的思路、措施、效果、课程内容设计。评估结果表明</w:t>
      </w:r>
      <w:r>
        <w:rPr>
          <w:rFonts w:ascii="宋体" w:hAnsi="宋体" w:cs="宋体" w:hint="eastAsia"/>
          <w:color w:val="000000"/>
          <w:kern w:val="0"/>
          <w:sz w:val="28"/>
          <w:szCs w:val="28"/>
        </w:rPr>
        <w:t>100%</w:t>
      </w:r>
      <w:r>
        <w:rPr>
          <w:rFonts w:ascii="宋体" w:hAnsi="宋体" w:cs="宋体" w:hint="eastAsia"/>
          <w:color w:val="000000"/>
          <w:sz w:val="28"/>
          <w:szCs w:val="28"/>
        </w:rPr>
        <w:t>课程有改革的总体思路、具体计划与配套措施，执行良好，成绩显著；课程内容符合教学大纲要求；且内容新颖、信息量大、及时引入新的研究成果；课程内容的基础性与前沿性处理恰当，本课程与相关课程的关系处理得当。</w:t>
      </w:r>
    </w:p>
    <w:tbl>
      <w:tblPr>
        <w:tblW w:w="0" w:type="auto"/>
        <w:tblLayout w:type="fixed"/>
        <w:tblLook w:val="04A0" w:firstRow="1" w:lastRow="0" w:firstColumn="1" w:lastColumn="0" w:noHBand="0" w:noVBand="1"/>
      </w:tblPr>
      <w:tblGrid>
        <w:gridCol w:w="2035"/>
        <w:gridCol w:w="1813"/>
        <w:gridCol w:w="1840"/>
        <w:gridCol w:w="2265"/>
      </w:tblGrid>
      <w:tr w:rsidR="009B6F00" w:rsidTr="009B6F00">
        <w:trPr>
          <w:trHeight w:val="540"/>
        </w:trPr>
        <w:tc>
          <w:tcPr>
            <w:tcW w:w="7953"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3-2★课堂教学统计表</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106</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61.27%</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51</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29.48%</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9.25%</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0.00%</w:t>
            </w:r>
          </w:p>
        </w:tc>
      </w:tr>
    </w:tbl>
    <w:p w:rsidR="009B6F00" w:rsidRDefault="009B6F00" w:rsidP="009B6F00">
      <w:pPr>
        <w:spacing w:line="360" w:lineRule="auto"/>
        <w:ind w:firstLineChars="150" w:firstLine="420"/>
        <w:rPr>
          <w:rFonts w:ascii="宋体" w:hAnsi="宋体"/>
          <w:color w:val="FF0000"/>
          <w:sz w:val="28"/>
          <w:szCs w:val="28"/>
        </w:rPr>
      </w:pPr>
      <w:r>
        <w:rPr>
          <w:rFonts w:ascii="宋体" w:hAnsi="宋体" w:hint="eastAsia"/>
          <w:sz w:val="28"/>
          <w:szCs w:val="28"/>
        </w:rPr>
        <w:t>该指标主要观测</w:t>
      </w:r>
      <w:r>
        <w:rPr>
          <w:rFonts w:ascii="宋体" w:hAnsi="宋体" w:cs="宋体" w:hint="eastAsia"/>
          <w:color w:val="000000"/>
          <w:sz w:val="28"/>
          <w:szCs w:val="28"/>
        </w:rPr>
        <w:t>学生、教学督导对教师课程教学的评价。评估结果表明，学生和教学督导对教师课堂教学的满意度平均分在75分以上的达到</w:t>
      </w:r>
      <w:r>
        <w:rPr>
          <w:rFonts w:ascii="宋体" w:hAnsi="宋体" w:cs="宋体" w:hint="eastAsia"/>
          <w:color w:val="000000"/>
          <w:kern w:val="0"/>
          <w:sz w:val="28"/>
          <w:szCs w:val="28"/>
        </w:rPr>
        <w:t>100%。</w:t>
      </w:r>
    </w:p>
    <w:tbl>
      <w:tblPr>
        <w:tblW w:w="0" w:type="auto"/>
        <w:tblLayout w:type="fixed"/>
        <w:tblLook w:val="04A0" w:firstRow="1" w:lastRow="0" w:firstColumn="1" w:lastColumn="0" w:noHBand="0" w:noVBand="1"/>
      </w:tblPr>
      <w:tblGrid>
        <w:gridCol w:w="2035"/>
        <w:gridCol w:w="1813"/>
        <w:gridCol w:w="1840"/>
        <w:gridCol w:w="2124"/>
      </w:tblGrid>
      <w:tr w:rsidR="009B6F00" w:rsidTr="009B6F00">
        <w:trPr>
          <w:trHeight w:val="540"/>
        </w:trPr>
        <w:tc>
          <w:tcPr>
            <w:tcW w:w="7812"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3-3课堂教学手段及方法统计表</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116</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67.05%</w:t>
            </w:r>
          </w:p>
        </w:tc>
      </w:tr>
      <w:tr w:rsidR="009B6F00" w:rsidTr="009B6F00">
        <w:trPr>
          <w:trHeight w:val="450"/>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36</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20.81%</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10.98%</w:t>
            </w:r>
          </w:p>
        </w:tc>
      </w:tr>
      <w:tr w:rsidR="009B6F00" w:rsidTr="009B6F00">
        <w:trPr>
          <w:trHeight w:val="375"/>
        </w:trPr>
        <w:tc>
          <w:tcPr>
            <w:tcW w:w="2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1.16%</w:t>
            </w:r>
          </w:p>
        </w:tc>
      </w:tr>
    </w:tbl>
    <w:p w:rsidR="009B6F00" w:rsidRDefault="009B6F00" w:rsidP="009B6F00">
      <w:pPr>
        <w:spacing w:line="360" w:lineRule="auto"/>
        <w:ind w:firstLineChars="200" w:firstLine="560"/>
        <w:rPr>
          <w:rFonts w:ascii="宋体" w:hAnsi="宋体"/>
          <w:color w:val="FF0000"/>
          <w:sz w:val="28"/>
          <w:szCs w:val="28"/>
        </w:rPr>
      </w:pPr>
      <w:r>
        <w:rPr>
          <w:rFonts w:ascii="宋体" w:hAnsi="宋体" w:hint="eastAsia"/>
          <w:sz w:val="28"/>
          <w:szCs w:val="28"/>
        </w:rPr>
        <w:t>该指标主要观测教师</w:t>
      </w:r>
      <w:r>
        <w:rPr>
          <w:rFonts w:ascii="宋体" w:hAnsi="宋体" w:cs="宋体" w:hint="eastAsia"/>
          <w:color w:val="000000"/>
          <w:sz w:val="28"/>
          <w:szCs w:val="28"/>
        </w:rPr>
        <w:t>利用计算机综合处理文字、声音、图形、动画等信息的技术情况。评估结果表明</w:t>
      </w:r>
      <w:r>
        <w:rPr>
          <w:rFonts w:ascii="宋体" w:hAnsi="宋体" w:cs="宋体" w:hint="eastAsia"/>
          <w:color w:val="000000"/>
          <w:kern w:val="0"/>
          <w:sz w:val="28"/>
          <w:szCs w:val="28"/>
        </w:rPr>
        <w:t>98.84%的参评课程教师在教学过程使</w:t>
      </w:r>
      <w:r>
        <w:rPr>
          <w:rFonts w:ascii="宋体" w:hAnsi="宋体" w:cs="宋体" w:hint="eastAsia"/>
          <w:color w:val="000000"/>
          <w:sz w:val="28"/>
          <w:szCs w:val="28"/>
        </w:rPr>
        <w:t>用多媒体授课课时≥总课时的25%。</w:t>
      </w:r>
    </w:p>
    <w:tbl>
      <w:tblPr>
        <w:tblW w:w="0" w:type="auto"/>
        <w:tblLayout w:type="fixed"/>
        <w:tblLook w:val="04A0" w:firstRow="1" w:lastRow="0" w:firstColumn="1" w:lastColumn="0" w:noHBand="0" w:noVBand="1"/>
      </w:tblPr>
      <w:tblGrid>
        <w:gridCol w:w="2042"/>
        <w:gridCol w:w="1821"/>
        <w:gridCol w:w="1821"/>
        <w:gridCol w:w="2553"/>
      </w:tblGrid>
      <w:tr w:rsidR="009B6F00" w:rsidTr="009B6F00">
        <w:trPr>
          <w:trHeight w:val="540"/>
        </w:trPr>
        <w:tc>
          <w:tcPr>
            <w:tcW w:w="8237"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3-4课外辅导统计表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82</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47.40%</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62</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35.84%</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20</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16.76%</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0.00%</w:t>
            </w:r>
          </w:p>
        </w:tc>
      </w:tr>
    </w:tbl>
    <w:p w:rsidR="009B6F00" w:rsidRDefault="009B6F00" w:rsidP="009B6F00">
      <w:pPr>
        <w:spacing w:line="360" w:lineRule="auto"/>
        <w:ind w:firstLineChars="200" w:firstLine="560"/>
        <w:rPr>
          <w:rFonts w:ascii="宋体" w:hAnsi="宋体"/>
          <w:sz w:val="28"/>
          <w:szCs w:val="28"/>
        </w:rPr>
      </w:pPr>
      <w:r>
        <w:rPr>
          <w:rFonts w:ascii="宋体" w:hAnsi="宋体" w:hint="eastAsia"/>
          <w:sz w:val="28"/>
          <w:szCs w:val="28"/>
        </w:rPr>
        <w:t>该指标主要观测课程教学中教师在</w:t>
      </w:r>
      <w:r>
        <w:rPr>
          <w:rFonts w:ascii="宋体" w:hAnsi="宋体" w:cs="宋体" w:hint="eastAsia"/>
          <w:sz w:val="28"/>
          <w:szCs w:val="28"/>
        </w:rPr>
        <w:t>作业设计与布置、批阅与辅导等方面的情况。评估结果表明</w:t>
      </w:r>
      <w:r>
        <w:rPr>
          <w:rFonts w:ascii="宋体" w:hAnsi="宋体" w:cs="宋体" w:hint="eastAsia"/>
          <w:kern w:val="0"/>
          <w:sz w:val="28"/>
          <w:szCs w:val="28"/>
        </w:rPr>
        <w:t>100%的参评课程</w:t>
      </w:r>
      <w:r>
        <w:rPr>
          <w:rFonts w:ascii="宋体" w:hAnsi="宋体" w:cs="宋体" w:hint="eastAsia"/>
          <w:sz w:val="28"/>
          <w:szCs w:val="28"/>
        </w:rPr>
        <w:t>作业布置科学、合理，每学期8次以上；批改仔细，反馈及时；按要求及时辅导，计划严密，记录真实；开列课外阅读书目，批改读书报告。</w:t>
      </w:r>
    </w:p>
    <w:tbl>
      <w:tblPr>
        <w:tblW w:w="0" w:type="auto"/>
        <w:tblLayout w:type="fixed"/>
        <w:tblLook w:val="04A0" w:firstRow="1" w:lastRow="0" w:firstColumn="1" w:lastColumn="0" w:noHBand="0" w:noVBand="1"/>
      </w:tblPr>
      <w:tblGrid>
        <w:gridCol w:w="2042"/>
        <w:gridCol w:w="1821"/>
        <w:gridCol w:w="1821"/>
        <w:gridCol w:w="2411"/>
      </w:tblGrid>
      <w:tr w:rsidR="009B6F00" w:rsidTr="009B6F00">
        <w:trPr>
          <w:trHeight w:val="540"/>
        </w:trPr>
        <w:tc>
          <w:tcPr>
            <w:tcW w:w="8095"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3-5★实验及实习统计表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96</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55.49%</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53</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30.64%</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10</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12.72%</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1.16%</w:t>
            </w:r>
          </w:p>
        </w:tc>
      </w:tr>
    </w:tbl>
    <w:p w:rsidR="009B6F00" w:rsidRDefault="009B6F00" w:rsidP="009B6F00">
      <w:pPr>
        <w:spacing w:line="360" w:lineRule="auto"/>
        <w:ind w:firstLineChars="200" w:firstLine="560"/>
        <w:rPr>
          <w:rFonts w:ascii="宋体" w:hAnsi="宋体"/>
          <w:color w:val="FF0000"/>
          <w:sz w:val="28"/>
          <w:szCs w:val="28"/>
        </w:rPr>
      </w:pPr>
      <w:r>
        <w:rPr>
          <w:rFonts w:ascii="宋体" w:hAnsi="宋体" w:hint="eastAsia"/>
          <w:sz w:val="28"/>
          <w:szCs w:val="28"/>
        </w:rPr>
        <w:t>该指标主要观测课程在</w:t>
      </w:r>
      <w:r>
        <w:rPr>
          <w:rFonts w:ascii="宋体" w:hAnsi="宋体" w:cs="宋体" w:hint="eastAsia"/>
          <w:color w:val="000000"/>
          <w:sz w:val="28"/>
          <w:szCs w:val="28"/>
        </w:rPr>
        <w:t>实践教学的先进性与开放性的情况。评估结果表明98.84</w:t>
      </w:r>
      <w:r>
        <w:rPr>
          <w:rFonts w:ascii="宋体" w:hAnsi="宋体" w:cs="宋体" w:hint="eastAsia"/>
          <w:color w:val="000000"/>
          <w:kern w:val="0"/>
          <w:sz w:val="28"/>
          <w:szCs w:val="28"/>
        </w:rPr>
        <w:t>%</w:t>
      </w:r>
      <w:r>
        <w:rPr>
          <w:rFonts w:ascii="宋体" w:hAnsi="宋体" w:cs="宋体" w:hint="eastAsia"/>
          <w:color w:val="000000"/>
          <w:sz w:val="28"/>
          <w:szCs w:val="28"/>
        </w:rPr>
        <w:t>的课程实习和实训时间有保证、措施完善、效果好；实践教学内容与体系注意内容更新，体系设计科学合理，符合培养目标要求，创造条件使学生较早参加科研和创新活动，效果好；实验完全按教学大纲开出，效果好；设计性实验、综合性实验开出≥总实验的5%。实验报告批改全面、及时。实习场地稳定充足，准备充分、计划安排周密合理；指导力量搭配适宜；严格考核，及时总结，效果良好。</w:t>
      </w:r>
    </w:p>
    <w:tbl>
      <w:tblPr>
        <w:tblW w:w="0" w:type="auto"/>
        <w:tblLayout w:type="fixed"/>
        <w:tblLook w:val="04A0" w:firstRow="1" w:lastRow="0" w:firstColumn="1" w:lastColumn="0" w:noHBand="0" w:noVBand="1"/>
      </w:tblPr>
      <w:tblGrid>
        <w:gridCol w:w="2042"/>
        <w:gridCol w:w="1821"/>
        <w:gridCol w:w="1821"/>
        <w:gridCol w:w="2411"/>
      </w:tblGrid>
      <w:tr w:rsidR="009B6F00" w:rsidTr="009B6F00">
        <w:trPr>
          <w:trHeight w:val="540"/>
        </w:trPr>
        <w:tc>
          <w:tcPr>
            <w:tcW w:w="8095"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3-6课程考核统计表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89</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51.45%</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61</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35.26%</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19</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12.71%</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w:t>
            </w:r>
          </w:p>
        </w:tc>
        <w:tc>
          <w:tcPr>
            <w:tcW w:w="24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0.58%</w:t>
            </w:r>
          </w:p>
        </w:tc>
      </w:tr>
    </w:tbl>
    <w:p w:rsidR="009B6F00" w:rsidRDefault="009B6F00" w:rsidP="009B6F00">
      <w:pPr>
        <w:spacing w:line="360" w:lineRule="auto"/>
        <w:ind w:firstLineChars="150" w:firstLine="420"/>
        <w:rPr>
          <w:rFonts w:ascii="宋体" w:hAnsi="宋体"/>
          <w:color w:val="FF0000"/>
          <w:sz w:val="28"/>
          <w:szCs w:val="28"/>
        </w:rPr>
      </w:pPr>
      <w:r>
        <w:rPr>
          <w:rFonts w:ascii="宋体" w:hAnsi="宋体" w:hint="eastAsia"/>
          <w:sz w:val="28"/>
          <w:szCs w:val="28"/>
        </w:rPr>
        <w:t>该指标主要观测课程在</w:t>
      </w:r>
      <w:r>
        <w:rPr>
          <w:rFonts w:ascii="宋体" w:hAnsi="宋体" w:cs="宋体" w:hint="eastAsia"/>
          <w:color w:val="000000"/>
          <w:sz w:val="28"/>
          <w:szCs w:val="28"/>
        </w:rPr>
        <w:t>试卷、考核方式方法的情况。评估结果表明</w:t>
      </w:r>
      <w:r>
        <w:rPr>
          <w:rFonts w:ascii="宋体" w:hAnsi="宋体" w:cs="宋体" w:hint="eastAsia"/>
          <w:color w:val="000000"/>
          <w:kern w:val="0"/>
          <w:sz w:val="28"/>
          <w:szCs w:val="28"/>
        </w:rPr>
        <w:t>99.42%</w:t>
      </w:r>
      <w:r>
        <w:rPr>
          <w:rFonts w:ascii="宋体" w:hAnsi="宋体" w:cs="宋体" w:hint="eastAsia"/>
          <w:color w:val="000000"/>
          <w:sz w:val="28"/>
          <w:szCs w:val="28"/>
        </w:rPr>
        <w:t>参评课程有科学、系统的考核方式，考核管理严格，符合大纲要求，能够反映学生真实水平，能够及时进行试卷、成绩分析，对教学作用明显；试题库建设规范、完备，能实现题库抽题，教考分离。</w:t>
      </w:r>
    </w:p>
    <w:tbl>
      <w:tblPr>
        <w:tblW w:w="0" w:type="auto"/>
        <w:tblLayout w:type="fixed"/>
        <w:tblLook w:val="04A0" w:firstRow="1" w:lastRow="0" w:firstColumn="1" w:lastColumn="0" w:noHBand="0" w:noVBand="1"/>
      </w:tblPr>
      <w:tblGrid>
        <w:gridCol w:w="2042"/>
        <w:gridCol w:w="1821"/>
        <w:gridCol w:w="1821"/>
        <w:gridCol w:w="2128"/>
      </w:tblGrid>
      <w:tr w:rsidR="009B6F00" w:rsidTr="009B6F00">
        <w:trPr>
          <w:trHeight w:val="540"/>
        </w:trPr>
        <w:tc>
          <w:tcPr>
            <w:tcW w:w="7812" w:type="dxa"/>
            <w:gridSpan w:val="4"/>
            <w:tcMar>
              <w:top w:w="15" w:type="dxa"/>
              <w:left w:w="15" w:type="dxa"/>
              <w:bottom w:w="15" w:type="dxa"/>
              <w:right w:w="15" w:type="dxa"/>
            </w:tcMar>
            <w:vAlign w:val="center"/>
          </w:tcPr>
          <w:p w:rsidR="009B6F00" w:rsidRDefault="009B6F00">
            <w:pPr>
              <w:widowControl/>
              <w:jc w:val="center"/>
              <w:rPr>
                <w:rFonts w:ascii="宋体" w:hAnsi="宋体" w:cs="宋体"/>
                <w:color w:val="000000"/>
                <w:kern w:val="0"/>
                <w:sz w:val="28"/>
                <w:szCs w:val="28"/>
              </w:rPr>
            </w:pPr>
          </w:p>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lastRenderedPageBreak/>
              <w:t>4-1★教研、教改活动统计表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62</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35.84%</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67</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38.73%</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24</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17.92%</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12</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6.94%</w:t>
            </w:r>
          </w:p>
        </w:tc>
      </w:tr>
    </w:tbl>
    <w:p w:rsidR="009B6F00" w:rsidRDefault="009B6F00" w:rsidP="009B6F00">
      <w:pPr>
        <w:spacing w:line="360" w:lineRule="auto"/>
        <w:ind w:firstLineChars="200" w:firstLine="560"/>
        <w:rPr>
          <w:rFonts w:ascii="宋体" w:hAnsi="宋体"/>
          <w:color w:val="FF0000"/>
          <w:sz w:val="28"/>
          <w:szCs w:val="28"/>
        </w:rPr>
      </w:pPr>
      <w:r>
        <w:rPr>
          <w:rFonts w:ascii="宋体" w:hAnsi="宋体" w:hint="eastAsia"/>
          <w:sz w:val="28"/>
          <w:szCs w:val="28"/>
        </w:rPr>
        <w:t>该指标主要观测课程在</w:t>
      </w:r>
      <w:r>
        <w:rPr>
          <w:rFonts w:ascii="宋体" w:hAnsi="宋体" w:cs="宋体" w:hint="eastAsia"/>
          <w:color w:val="000000"/>
          <w:sz w:val="28"/>
          <w:szCs w:val="28"/>
        </w:rPr>
        <w:t>教研、教改活动开展情况。评估结果表明</w:t>
      </w:r>
      <w:r>
        <w:rPr>
          <w:rFonts w:ascii="宋体" w:hAnsi="宋体" w:cs="宋体" w:hint="eastAsia"/>
          <w:color w:val="000000"/>
          <w:kern w:val="0"/>
          <w:sz w:val="28"/>
          <w:szCs w:val="28"/>
        </w:rPr>
        <w:t>93.06%</w:t>
      </w:r>
      <w:r>
        <w:rPr>
          <w:rFonts w:ascii="宋体" w:hAnsi="宋体" w:cs="宋体" w:hint="eastAsia"/>
          <w:color w:val="000000"/>
          <w:sz w:val="28"/>
          <w:szCs w:val="28"/>
        </w:rPr>
        <w:t>有计划地加强课程建设，开展教研活动，活动有内容、有计划、有实效记录并保存完整（试讲、听课、教学检查、新学期工作计划、期末总结、教研活动记录、教师考核制度等），每周一次教研活动；有明确的课程教学研究与改革计划，并严格执行。</w:t>
      </w:r>
    </w:p>
    <w:tbl>
      <w:tblPr>
        <w:tblW w:w="0" w:type="auto"/>
        <w:tblLayout w:type="fixed"/>
        <w:tblLook w:val="04A0" w:firstRow="1" w:lastRow="0" w:firstColumn="1" w:lastColumn="0" w:noHBand="0" w:noVBand="1"/>
      </w:tblPr>
      <w:tblGrid>
        <w:gridCol w:w="2042"/>
        <w:gridCol w:w="1821"/>
        <w:gridCol w:w="1821"/>
        <w:gridCol w:w="2553"/>
      </w:tblGrid>
      <w:tr w:rsidR="009B6F00" w:rsidTr="009B6F00">
        <w:trPr>
          <w:trHeight w:val="540"/>
        </w:trPr>
        <w:tc>
          <w:tcPr>
            <w:tcW w:w="8237"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4-2★教学研究与改革成果统计表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63</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36.42%</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75</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43.35%</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22</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15.61%</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8</w:t>
            </w:r>
          </w:p>
        </w:tc>
        <w:tc>
          <w:tcPr>
            <w:tcW w:w="2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4.62%</w:t>
            </w:r>
          </w:p>
        </w:tc>
      </w:tr>
    </w:tbl>
    <w:p w:rsidR="009B6F00" w:rsidRDefault="009B6F00" w:rsidP="009B6F00">
      <w:pPr>
        <w:spacing w:line="360" w:lineRule="auto"/>
        <w:ind w:firstLineChars="200" w:firstLine="560"/>
        <w:rPr>
          <w:rFonts w:ascii="宋体" w:hAnsi="宋体"/>
          <w:color w:val="FF0000"/>
          <w:sz w:val="28"/>
          <w:szCs w:val="28"/>
        </w:rPr>
      </w:pPr>
      <w:r>
        <w:rPr>
          <w:rFonts w:ascii="宋体" w:hAnsi="宋体" w:hint="eastAsia"/>
          <w:sz w:val="28"/>
          <w:szCs w:val="28"/>
        </w:rPr>
        <w:t>该指标主要观测课程在</w:t>
      </w:r>
      <w:r>
        <w:rPr>
          <w:rFonts w:ascii="宋体" w:hAnsi="宋体" w:cs="宋体" w:hint="eastAsia"/>
          <w:color w:val="000000"/>
          <w:sz w:val="28"/>
          <w:szCs w:val="28"/>
        </w:rPr>
        <w:t>教研论文发表、课题申报，教学成果奖获奖方面的情况。评估结果表明</w:t>
      </w:r>
      <w:r>
        <w:rPr>
          <w:rFonts w:ascii="宋体" w:hAnsi="宋体" w:cs="宋体" w:hint="eastAsia"/>
          <w:color w:val="000000"/>
          <w:kern w:val="0"/>
          <w:sz w:val="28"/>
          <w:szCs w:val="28"/>
        </w:rPr>
        <w:t>95.38%的参评课程</w:t>
      </w:r>
      <w:r>
        <w:rPr>
          <w:rFonts w:ascii="宋体" w:hAnsi="宋体" w:cs="宋体" w:hint="eastAsia"/>
          <w:color w:val="000000"/>
          <w:sz w:val="28"/>
          <w:szCs w:val="28"/>
        </w:rPr>
        <w:t>近3年平均每位教师公开发表教学研究论文≥2篇；至少有１项校级教研课题；或有校级教学成果奖。</w:t>
      </w:r>
    </w:p>
    <w:tbl>
      <w:tblPr>
        <w:tblW w:w="0" w:type="auto"/>
        <w:tblLayout w:type="fixed"/>
        <w:tblLook w:val="04A0" w:firstRow="1" w:lastRow="0" w:firstColumn="1" w:lastColumn="0" w:noHBand="0" w:noVBand="1"/>
      </w:tblPr>
      <w:tblGrid>
        <w:gridCol w:w="2042"/>
        <w:gridCol w:w="1821"/>
        <w:gridCol w:w="1821"/>
        <w:gridCol w:w="2269"/>
      </w:tblGrid>
      <w:tr w:rsidR="009B6F00" w:rsidTr="009B6F00">
        <w:trPr>
          <w:trHeight w:val="540"/>
        </w:trPr>
        <w:tc>
          <w:tcPr>
            <w:tcW w:w="7953"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5、★教学水平和效果统计表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71</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41.04%</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69</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39.88%</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21</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19.08%</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0.00%</w:t>
            </w:r>
          </w:p>
        </w:tc>
      </w:tr>
    </w:tbl>
    <w:p w:rsidR="009B6F00" w:rsidRDefault="009B6F00" w:rsidP="009B6F00">
      <w:pPr>
        <w:spacing w:line="360" w:lineRule="auto"/>
        <w:ind w:firstLineChars="200" w:firstLine="560"/>
        <w:rPr>
          <w:rFonts w:ascii="宋体" w:hAnsi="宋体"/>
          <w:sz w:val="28"/>
          <w:szCs w:val="28"/>
        </w:rPr>
      </w:pPr>
      <w:r>
        <w:rPr>
          <w:rFonts w:ascii="宋体" w:hAnsi="宋体" w:hint="eastAsia"/>
          <w:sz w:val="28"/>
          <w:szCs w:val="28"/>
        </w:rPr>
        <w:t>该指标主要观测课程在学生评价、学生成绩、成果考核方面的情况。评估结果表明100%的课程对大纲要求的基本理论、基本技能，大多数学生掌握的好，学生成绩总体呈正态分布；近3年有学生经本课程教师指导在公开刊物发表学术论文或在省级以上教育行政部门举办的正式比赛中获奖。</w:t>
      </w:r>
    </w:p>
    <w:tbl>
      <w:tblPr>
        <w:tblW w:w="0" w:type="auto"/>
        <w:tblLayout w:type="fixed"/>
        <w:tblLook w:val="04A0" w:firstRow="1" w:lastRow="0" w:firstColumn="1" w:lastColumn="0" w:noHBand="0" w:noVBand="1"/>
      </w:tblPr>
      <w:tblGrid>
        <w:gridCol w:w="2042"/>
        <w:gridCol w:w="1821"/>
        <w:gridCol w:w="1821"/>
        <w:gridCol w:w="2269"/>
      </w:tblGrid>
      <w:tr w:rsidR="009B6F00" w:rsidTr="009B6F00">
        <w:trPr>
          <w:trHeight w:val="540"/>
        </w:trPr>
        <w:tc>
          <w:tcPr>
            <w:tcW w:w="7953" w:type="dxa"/>
            <w:gridSpan w:val="4"/>
            <w:tcMar>
              <w:top w:w="15" w:type="dxa"/>
              <w:left w:w="15" w:type="dxa"/>
              <w:bottom w:w="15" w:type="dxa"/>
              <w:right w:w="15" w:type="dxa"/>
            </w:tcMar>
            <w:vAlign w:val="center"/>
            <w:hideMark/>
          </w:tcPr>
          <w:p w:rsidR="009B6F00" w:rsidRDefault="009B6F00">
            <w:pPr>
              <w:widowControl/>
              <w:jc w:val="center"/>
              <w:rPr>
                <w:rFonts w:ascii="宋体" w:hAnsi="宋体" w:cs="宋体"/>
                <w:color w:val="000000"/>
                <w:sz w:val="28"/>
                <w:szCs w:val="28"/>
              </w:rPr>
            </w:pPr>
            <w:r>
              <w:rPr>
                <w:rFonts w:ascii="宋体" w:hAnsi="宋体" w:cs="宋体" w:hint="eastAsia"/>
                <w:color w:val="000000"/>
                <w:kern w:val="0"/>
                <w:sz w:val="28"/>
                <w:szCs w:val="28"/>
              </w:rPr>
              <w:t>6、课程特色统计表</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评估课程总门数</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达到等级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课程门数</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占参评课程百分</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A级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26</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15.03%</w:t>
            </w:r>
          </w:p>
        </w:tc>
      </w:tr>
      <w:tr w:rsidR="009B6F00" w:rsidTr="009B6F00">
        <w:trPr>
          <w:trHeight w:val="450"/>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B级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73</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42.20%</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C级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15</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32.95%</w:t>
            </w:r>
          </w:p>
        </w:tc>
      </w:tr>
      <w:tr w:rsidR="009B6F00" w:rsidTr="009B6F00">
        <w:trPr>
          <w:trHeight w:val="375"/>
        </w:trPr>
        <w:tc>
          <w:tcPr>
            <w:tcW w:w="20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173</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D级</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5</w:t>
            </w:r>
          </w:p>
        </w:tc>
        <w:tc>
          <w:tcPr>
            <w:tcW w:w="22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B6F00" w:rsidRDefault="009B6F00">
            <w:pPr>
              <w:widowControl/>
              <w:jc w:val="left"/>
              <w:textAlignment w:val="center"/>
              <w:rPr>
                <w:rFonts w:ascii="宋体" w:hAnsi="宋体" w:cs="宋体"/>
                <w:color w:val="000000"/>
                <w:sz w:val="24"/>
              </w:rPr>
            </w:pPr>
            <w:r>
              <w:rPr>
                <w:rFonts w:ascii="宋体" w:hAnsi="宋体" w:cs="宋体" w:hint="eastAsia"/>
                <w:color w:val="000000"/>
                <w:kern w:val="0"/>
                <w:sz w:val="24"/>
              </w:rPr>
              <w:t>9.83%</w:t>
            </w:r>
          </w:p>
        </w:tc>
      </w:tr>
    </w:tbl>
    <w:p w:rsidR="009B6F00" w:rsidRDefault="009B6F00" w:rsidP="009B6F00">
      <w:pPr>
        <w:spacing w:line="360" w:lineRule="auto"/>
        <w:ind w:firstLineChars="200" w:firstLine="560"/>
        <w:rPr>
          <w:rFonts w:ascii="宋体" w:hAnsi="宋体"/>
          <w:color w:val="FF0000"/>
          <w:sz w:val="28"/>
          <w:szCs w:val="28"/>
        </w:rPr>
      </w:pPr>
      <w:r>
        <w:rPr>
          <w:rFonts w:ascii="宋体" w:hAnsi="宋体" w:cs="宋体" w:hint="eastAsia"/>
          <w:color w:val="000000"/>
          <w:sz w:val="28"/>
          <w:szCs w:val="28"/>
        </w:rPr>
        <w:t>该指标主要观测在课程教学内容与课程教学体系、人才培养模式、教学方法与手段、教学具体环节等方面有重大创新，取得显著成效，形成明显优势。评估结果表明</w:t>
      </w:r>
      <w:r>
        <w:rPr>
          <w:rFonts w:ascii="宋体" w:hAnsi="宋体" w:cs="宋体" w:hint="eastAsia"/>
          <w:color w:val="000000"/>
          <w:kern w:val="0"/>
          <w:sz w:val="28"/>
          <w:szCs w:val="28"/>
        </w:rPr>
        <w:t>15.03%课程形成了特色，具有明显优势。</w:t>
      </w:r>
    </w:p>
    <w:p w:rsidR="009B6F00" w:rsidRDefault="009B6F00" w:rsidP="009B6F00">
      <w:pPr>
        <w:ind w:firstLineChars="200" w:firstLine="562"/>
        <w:rPr>
          <w:rFonts w:ascii="宋体" w:hAnsi="宋体"/>
          <w:b/>
          <w:sz w:val="28"/>
          <w:szCs w:val="28"/>
        </w:rPr>
      </w:pPr>
      <w:r>
        <w:rPr>
          <w:rFonts w:ascii="宋体" w:hAnsi="宋体" w:hint="eastAsia"/>
          <w:b/>
          <w:sz w:val="28"/>
          <w:szCs w:val="28"/>
        </w:rPr>
        <w:t>三、评估情况总结和评估结论</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各学院制定了课程建设规划，规范课程教学，科学地进行课程管理，实现现代教育技术与课程教学的有机融合，完善教材建设，努力实践培养基础扎实、综合素质高、实践能力强、发展潜能大的高素质应用型人才的培养目标，促进教育教学质量的全面提高就成为课程教学改革与建设的基本目的。课程教学较好地实现了“传统教学内容与现代教育技术相结合、知识传授与能力培养相结合、过程追踪与结果</w:t>
      </w:r>
      <w:r>
        <w:rPr>
          <w:rFonts w:ascii="宋体" w:hAnsi="宋体" w:cs="宋体" w:hint="eastAsia"/>
          <w:color w:val="000000"/>
          <w:sz w:val="28"/>
          <w:szCs w:val="28"/>
        </w:rPr>
        <w:lastRenderedPageBreak/>
        <w:t>评价相结合，促进教育教学质量全面提高” 的教学目标。</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各学院对于课程建设以及课程规划、政策、措施及其落实有着严格的计划安排以及相关的评估机制，近年来加大课程建设力度，投入大量人力物力开发和建设课程，结合教学改革和教学创新活动，每年开展优质课程申报和验收工作，开展优秀教学成果奖励的评选工作，还开展了教学名师和优秀教师的评选活动，极大地促进了教学的发展和课程的革新。在经费支持方面，学校有固定的投入课程建设的专项经费。并且有着严格的经费支出和报销制度，使得经费能够真正为教学使用。课程具有健全的课程管理制度，具有完整、规范的教学文件和教学档案，包括教学大纲、课程教学改革方案、教学进度与计划表、教案、试卷库、教研活动记录、听课记录、试卷、学生学习报告、作业本、电子作品、调查作品、学习专题网站、电子学档、教学项目表等。课程精心选取教学参考资料和专题教学网站，充分发挥学生的信息素养能力，引导自我探究学习。参考资源各具特色，有注重前沿领域和应用方面的知识介绍的，也有侧重基本概念和基本规律的详尽阐述，力图将这些参考书的内涵渗透于教学之中，充实学习内容，开阔学生视野，激发学生的学习兴趣。</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课程建设是高等学校教育教学工作的一项基本建设,也是教学改革深入到具体教学内容领域的关键环节。</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学校以培养学生自主学习的能力和创新意识为重点，从课程的教师队伍建设、教师教育教学水平和科学研究水平以及教师的综合素质的提高为突破口，加强实验室建设，加强学生实践环节的教学，规范</w:t>
      </w:r>
      <w:r>
        <w:rPr>
          <w:rFonts w:ascii="宋体" w:hAnsi="宋体" w:cs="宋体" w:hint="eastAsia"/>
          <w:color w:val="000000"/>
          <w:sz w:val="28"/>
          <w:szCs w:val="28"/>
        </w:rPr>
        <w:lastRenderedPageBreak/>
        <w:t xml:space="preserve">教学文件的执行，注意收集最新的教学和学术发展动态，选用获奖或公认水平较高的重点教材，建立课程试题库等，加强课程建设。 </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根据社会的需求和专业培养目标的要求修订教学大纲，注重其实践性、时代性、先进性的要求。教学内容依据社会实际发展的需要和行业的特征得到了即时的更新。教学方式已由原来的一支粉笔一块黑板的方式，发展为今天电子教案、电子课件、多媒体网络等多元化的方式，作业习题越来越注重综合性、研究性、实用性。师资队伍的学历结构和职称结构逐步提高，教师不仅具有教学能力，同时还具有深厚的科研功底和丰富的实践经验。通过指导学生毕业设计和科研活动以及实践内容引入课堂的方式，不但使教学水平提到了提高，而且使学生的实践技能得以提高。改革课堂教学，拓展为课堂之外的指导学生从事科研活动，先后已有上百名学生在教师的指导下从事科学研究活动，将自己课堂所学知识尽快的应用到实际中，同时也使得学生在实践中逐渐学会如何去发现问题、分析问题和解决问题。</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加强教师队伍建设是高等学校建设的关键，它是支撑高校未来发展的一大支柱，直接关系到高校办学的质量和办学水平。课程建设组十分重视教师队伍的建设，初步形成了具有良好的政治业务素养，结构比较合理，相对稳定的教师队伍。为适应学校、学院的发展规划的总体要求，尽量从各方面创造条件，使青年教师尽快熟悉教育教学的各个环节，在职业道德、业务水平、科学研究等方面快速成长。</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教师的职业道德素质高低，直接影响到学生的培养质量，因此，在青年教师中，采取各种形式深入开展思想教育，提高政治理论水平，</w:t>
      </w:r>
      <w:r>
        <w:rPr>
          <w:rFonts w:ascii="宋体" w:hAnsi="宋体" w:cs="宋体" w:hint="eastAsia"/>
          <w:color w:val="000000"/>
          <w:sz w:val="28"/>
          <w:szCs w:val="28"/>
        </w:rPr>
        <w:lastRenderedPageBreak/>
        <w:t xml:space="preserve">增强事业心和责任感，激发青年教师热爱教育事业、热爱学校、热爱本职工作的情感。培养青年教师奋发进取的精神和勤奋治学，严谨治学的优良风尚，以身立教，为人师表，爱护学生，教书育人，乐于奉献。 </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 xml:space="preserve">课程建设负责人以高级专业技术职务的中老年教师为核心，对新教师进行传帮带培养工作。指导教师主要帮助他们制定个人发展计划，落实培训措施，对青年教师在教书育人、为人师表、教学法研究和科学研究方法等方面进行具体指导，并定期检查。这样使青年教师不仅很快熟悉了教学工作，而且学到了中老年教师严谨治学的科学态度。 </w:t>
      </w:r>
      <w:bookmarkStart w:id="4" w:name="_Toc224274950"/>
      <w:bookmarkStart w:id="5" w:name="_Toc224272924"/>
      <w:bookmarkStart w:id="6" w:name="_Toc224053617"/>
      <w:bookmarkStart w:id="7" w:name="_Toc224053333"/>
    </w:p>
    <w:bookmarkEnd w:id="4"/>
    <w:bookmarkEnd w:id="5"/>
    <w:bookmarkEnd w:id="6"/>
    <w:bookmarkEnd w:id="7"/>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在教学过程中注重课程内容的前沿性和时代性相结合。在教学活动中除了处理好教材与教学内容、教学内容与教学大纲的关系外，更加注重科学技术的发展。把教材中一些次要的、陈旧的、琐碎的内容忽略不讲，以保持教学内容的先进性、</w:t>
      </w:r>
      <w:bookmarkStart w:id="8" w:name="baidusnap5"/>
      <w:bookmarkEnd w:id="8"/>
      <w:r>
        <w:rPr>
          <w:rFonts w:ascii="宋体" w:hAnsi="宋体" w:cs="宋体" w:hint="eastAsia"/>
          <w:color w:val="000000"/>
          <w:sz w:val="28"/>
          <w:szCs w:val="28"/>
        </w:rPr>
        <w:t>时代性，同时加强教学内容与实际工程、理论教学与实践教学之间的联系。</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在教学过程中还注重科研与教学相结合。在课堂上注意将科研成果引入教学内容、更新教学内容。引用教师亲自完成的科研成果教学，能够使学生缩短理论知识与实际科研工作的距离感，能激发学生的成就感、自豪感和使命感，从而调动学生学习的主动性和能动性，产生良好的教学效果。同时让学生参与老师主持的科研工作，锻炼和培养学生发现问题、分析问题和解决问题以及实践动手能力。使理论知识、科学研究和实际问题结合起来。</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实践教学中，专门针对实验的需求，自编实验指导书，以便更好</w:t>
      </w:r>
      <w:r>
        <w:rPr>
          <w:rFonts w:ascii="宋体" w:hAnsi="宋体" w:cs="宋体" w:hint="eastAsia"/>
          <w:color w:val="000000"/>
          <w:sz w:val="28"/>
          <w:szCs w:val="28"/>
        </w:rPr>
        <w:lastRenderedPageBreak/>
        <w:t>的帮学生理解教材内容，更重要的是通过亲手实践，培养其发现问题、分析和解决的能力。</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课堂教学方面，学校的教学环境和硬件设施逐年的快速改善，使得教师可充分利用多媒体教学资源不断提高课堂教学效果，最大可能的将新技术、新品种及时的引入课堂，使学生及时的汲取最先进、最新兴的技术和知识。</w:t>
      </w:r>
    </w:p>
    <w:p w:rsidR="009B6F00" w:rsidRDefault="009B6F00" w:rsidP="009B6F00">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教师还可指导相当数量的学生进行科技活动项目，教师也可开展科研活动，并已取得了相当可喜的成果。相信随着学校硬件设施的不断改善，更主要的是我们课程组的不懈的努力，我们在师资队伍、教学资料、实验条件等方面水平将不断的提高。</w:t>
      </w:r>
    </w:p>
    <w:p w:rsidR="009B6F00" w:rsidRDefault="009B6F00" w:rsidP="009B6F00">
      <w:pPr>
        <w:spacing w:line="360" w:lineRule="auto"/>
        <w:ind w:firstLineChars="950" w:firstLine="2660"/>
        <w:rPr>
          <w:rFonts w:ascii="宋体" w:hAnsi="宋体" w:cs="宋体"/>
          <w:color w:val="000000"/>
          <w:sz w:val="28"/>
          <w:szCs w:val="28"/>
        </w:rPr>
      </w:pPr>
      <w:r>
        <w:rPr>
          <w:rFonts w:ascii="宋体" w:hAnsi="宋体" w:cs="宋体" w:hint="eastAsia"/>
          <w:color w:val="000000"/>
          <w:sz w:val="28"/>
          <w:szCs w:val="28"/>
        </w:rPr>
        <w:t>课程评估结论统计表</w:t>
      </w:r>
    </w:p>
    <w:tbl>
      <w:tblPr>
        <w:tblW w:w="7880" w:type="dxa"/>
        <w:tblInd w:w="96" w:type="dxa"/>
        <w:tblLook w:val="04A0" w:firstRow="1" w:lastRow="0" w:firstColumn="1" w:lastColumn="0" w:noHBand="0" w:noVBand="1"/>
      </w:tblPr>
      <w:tblGrid>
        <w:gridCol w:w="1997"/>
        <w:gridCol w:w="1763"/>
        <w:gridCol w:w="1781"/>
        <w:gridCol w:w="2339"/>
      </w:tblGrid>
      <w:tr w:rsidR="009B6F00" w:rsidTr="009B6F00">
        <w:trPr>
          <w:trHeight w:val="312"/>
        </w:trPr>
        <w:tc>
          <w:tcPr>
            <w:tcW w:w="1997" w:type="dxa"/>
            <w:tcBorders>
              <w:top w:val="single" w:sz="4" w:space="0" w:color="auto"/>
              <w:left w:val="single" w:sz="4" w:space="0" w:color="auto"/>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评估课程总门数</w:t>
            </w:r>
          </w:p>
        </w:tc>
        <w:tc>
          <w:tcPr>
            <w:tcW w:w="1763"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评定等级</w:t>
            </w:r>
          </w:p>
        </w:tc>
        <w:tc>
          <w:tcPr>
            <w:tcW w:w="1781"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课程门数</w:t>
            </w:r>
          </w:p>
        </w:tc>
        <w:tc>
          <w:tcPr>
            <w:tcW w:w="2339"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占参评课程百分比</w:t>
            </w:r>
          </w:p>
        </w:tc>
      </w:tr>
      <w:tr w:rsidR="009B6F00" w:rsidTr="009B6F00">
        <w:trPr>
          <w:trHeight w:val="312"/>
        </w:trPr>
        <w:tc>
          <w:tcPr>
            <w:tcW w:w="1997"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173</w:t>
            </w:r>
          </w:p>
        </w:tc>
        <w:tc>
          <w:tcPr>
            <w:tcW w:w="1763"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优秀</w:t>
            </w:r>
          </w:p>
        </w:tc>
        <w:tc>
          <w:tcPr>
            <w:tcW w:w="178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w:t>
            </w:r>
          </w:p>
        </w:tc>
        <w:tc>
          <w:tcPr>
            <w:tcW w:w="2339"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9.83%</w:t>
            </w:r>
          </w:p>
        </w:tc>
      </w:tr>
      <w:tr w:rsidR="009B6F00" w:rsidTr="009B6F00">
        <w:trPr>
          <w:trHeight w:val="312"/>
        </w:trPr>
        <w:tc>
          <w:tcPr>
            <w:tcW w:w="1997"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173</w:t>
            </w:r>
          </w:p>
        </w:tc>
        <w:tc>
          <w:tcPr>
            <w:tcW w:w="1763"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良好</w:t>
            </w:r>
          </w:p>
        </w:tc>
        <w:tc>
          <w:tcPr>
            <w:tcW w:w="178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75</w:t>
            </w:r>
          </w:p>
        </w:tc>
        <w:tc>
          <w:tcPr>
            <w:tcW w:w="2339"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43.35%</w:t>
            </w:r>
          </w:p>
        </w:tc>
      </w:tr>
      <w:tr w:rsidR="009B6F00" w:rsidTr="009B6F00">
        <w:trPr>
          <w:trHeight w:val="312"/>
        </w:trPr>
        <w:tc>
          <w:tcPr>
            <w:tcW w:w="1997"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173</w:t>
            </w:r>
          </w:p>
        </w:tc>
        <w:tc>
          <w:tcPr>
            <w:tcW w:w="1763"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合格</w:t>
            </w:r>
          </w:p>
        </w:tc>
        <w:tc>
          <w:tcPr>
            <w:tcW w:w="178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69</w:t>
            </w:r>
          </w:p>
        </w:tc>
        <w:tc>
          <w:tcPr>
            <w:tcW w:w="2339"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39.88%</w:t>
            </w:r>
          </w:p>
        </w:tc>
      </w:tr>
      <w:tr w:rsidR="009B6F00" w:rsidTr="009B6F00">
        <w:trPr>
          <w:trHeight w:val="312"/>
        </w:trPr>
        <w:tc>
          <w:tcPr>
            <w:tcW w:w="1997"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173</w:t>
            </w:r>
          </w:p>
        </w:tc>
        <w:tc>
          <w:tcPr>
            <w:tcW w:w="1763"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不合格</w:t>
            </w:r>
          </w:p>
        </w:tc>
        <w:tc>
          <w:tcPr>
            <w:tcW w:w="178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12</w:t>
            </w:r>
          </w:p>
        </w:tc>
        <w:tc>
          <w:tcPr>
            <w:tcW w:w="2339"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kern w:val="0"/>
                <w:sz w:val="24"/>
              </w:rPr>
            </w:pPr>
            <w:r>
              <w:rPr>
                <w:rFonts w:ascii="宋体" w:hAnsi="宋体" w:cs="宋体" w:hint="eastAsia"/>
                <w:kern w:val="0"/>
                <w:sz w:val="24"/>
              </w:rPr>
              <w:t>6.94%</w:t>
            </w:r>
          </w:p>
        </w:tc>
      </w:tr>
    </w:tbl>
    <w:p w:rsidR="009B6F00" w:rsidRDefault="009B6F00" w:rsidP="009B6F00">
      <w:pPr>
        <w:ind w:firstLineChars="200" w:firstLine="560"/>
        <w:rPr>
          <w:rFonts w:ascii="宋体" w:hAnsi="宋体"/>
          <w:b/>
          <w:color w:val="FF0000"/>
          <w:sz w:val="28"/>
          <w:szCs w:val="28"/>
        </w:rPr>
      </w:pPr>
      <w:r>
        <w:rPr>
          <w:rFonts w:ascii="宋体" w:hAnsi="宋体" w:cs="宋体" w:hint="eastAsia"/>
          <w:sz w:val="28"/>
          <w:szCs w:val="28"/>
        </w:rPr>
        <w:t>根据课程评估结果统计，17门评定为优秀课程，占参评课程9.8％；75门评定为良好课程，占参评课程43.35％；69门评定为合格课程，占参评课程39.88％；12门评定为不合格课程，占参评课程6.94％。</w:t>
      </w:r>
    </w:p>
    <w:p w:rsidR="009B6F00" w:rsidRDefault="009B6F00" w:rsidP="009B6F00">
      <w:pPr>
        <w:ind w:firstLineChars="200" w:firstLine="562"/>
        <w:outlineLvl w:val="0"/>
        <w:rPr>
          <w:rFonts w:ascii="宋体" w:hAnsi="宋体"/>
          <w:b/>
          <w:sz w:val="28"/>
          <w:szCs w:val="28"/>
        </w:rPr>
      </w:pPr>
      <w:r>
        <w:rPr>
          <w:rFonts w:ascii="宋体" w:hAnsi="宋体" w:hint="eastAsia"/>
          <w:b/>
          <w:sz w:val="28"/>
          <w:szCs w:val="28"/>
        </w:rPr>
        <w:t>四、目前课程建设中存在的主要问题</w:t>
      </w:r>
    </w:p>
    <w:p w:rsidR="009B6F00" w:rsidRDefault="009B6F00" w:rsidP="009B6F00">
      <w:pPr>
        <w:ind w:firstLineChars="200" w:firstLine="560"/>
        <w:rPr>
          <w:sz w:val="28"/>
          <w:szCs w:val="28"/>
        </w:rPr>
      </w:pPr>
      <w:r>
        <w:rPr>
          <w:rFonts w:hint="eastAsia"/>
          <w:sz w:val="28"/>
          <w:szCs w:val="28"/>
        </w:rPr>
        <w:t>学校课程建设还存在着许多问题，主要表现在几个方面：课程负责人的学术水平和风范与学生的需求还有一定差距，教学团队建设还要加强；课程体系过分强调学科知识体系的完整性，有“同质化”趋</w:t>
      </w:r>
      <w:r>
        <w:rPr>
          <w:rFonts w:hint="eastAsia"/>
          <w:sz w:val="28"/>
          <w:szCs w:val="28"/>
        </w:rPr>
        <w:lastRenderedPageBreak/>
        <w:t>向；课程目标与毕业要求的支撑度不强，师生对课程的教学目的认识模糊，课程的实效性不高；课程内容与行业企业契合度不够，与社会需求脱节；教学过程与生产过程结合不紧密，部分内容滞后于社会科技发展；理论教学与实践教学的结合度不牢，且注重知识的存储，忽视知识的应用与迁徙；教学组织创新不够，“满堂灌”现象比较突出；教学评价方式单一，忽视过程性评价；教育教学与信息化技术融合度不深，教师信息化素养有待提高，教学方法与手段改革有待深化等。在学校转型发展的进程中，必须正视和下大力气解决这些课程方面存在的问题，着力课程供给侧改革，否则将困扰学校建设特色鲜明的区域高水平大学的发展意愿，阻碍学校培养高层次应用型技术技能人才的教育教学活动开展。</w:t>
      </w:r>
    </w:p>
    <w:p w:rsidR="009B6F00" w:rsidRDefault="009B6F00" w:rsidP="009B6F00">
      <w:pPr>
        <w:ind w:firstLineChars="200" w:firstLine="562"/>
        <w:jc w:val="center"/>
        <w:outlineLvl w:val="0"/>
        <w:rPr>
          <w:rFonts w:ascii="宋体" w:hAnsi="宋体"/>
          <w:b/>
          <w:sz w:val="28"/>
          <w:szCs w:val="28"/>
        </w:rPr>
      </w:pPr>
      <w:r>
        <w:rPr>
          <w:rFonts w:ascii="宋体" w:hAnsi="宋体" w:hint="eastAsia"/>
          <w:b/>
          <w:sz w:val="28"/>
          <w:szCs w:val="28"/>
        </w:rPr>
        <w:t>各学院课程评估结果明细表</w:t>
      </w:r>
    </w:p>
    <w:tbl>
      <w:tblPr>
        <w:tblW w:w="10199" w:type="dxa"/>
        <w:jc w:val="center"/>
        <w:tblLook w:val="04A0" w:firstRow="1" w:lastRow="0" w:firstColumn="1" w:lastColumn="0" w:noHBand="0" w:noVBand="1"/>
      </w:tblPr>
      <w:tblGrid>
        <w:gridCol w:w="2978"/>
        <w:gridCol w:w="1701"/>
        <w:gridCol w:w="1768"/>
        <w:gridCol w:w="1701"/>
        <w:gridCol w:w="2051"/>
      </w:tblGrid>
      <w:tr w:rsidR="009B6F00" w:rsidTr="009B6F00">
        <w:trPr>
          <w:trHeight w:val="570"/>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rsidR="009B6F00" w:rsidRDefault="009B6F00">
            <w:pPr>
              <w:widowControl/>
              <w:jc w:val="left"/>
              <w:rPr>
                <w:rFonts w:ascii="宋体" w:hAnsi="宋体" w:cs="宋体"/>
                <w:color w:val="FF0000"/>
                <w:kern w:val="0"/>
                <w:sz w:val="24"/>
              </w:rPr>
            </w:pPr>
            <w:r>
              <w:rPr>
                <w:rFonts w:ascii="宋体" w:hAnsi="宋体" w:cs="宋体" w:hint="eastAsia"/>
                <w:color w:val="FF0000"/>
                <w:kern w:val="0"/>
                <w:sz w:val="24"/>
              </w:rPr>
              <w:t xml:space="preserve">           学院       等级</w:t>
            </w:r>
          </w:p>
        </w:tc>
        <w:tc>
          <w:tcPr>
            <w:tcW w:w="1701"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优秀课程门数</w:t>
            </w:r>
          </w:p>
        </w:tc>
        <w:tc>
          <w:tcPr>
            <w:tcW w:w="1768"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良好课程门数</w:t>
            </w:r>
          </w:p>
        </w:tc>
        <w:tc>
          <w:tcPr>
            <w:tcW w:w="1701"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合格课程门数</w:t>
            </w:r>
          </w:p>
        </w:tc>
        <w:tc>
          <w:tcPr>
            <w:tcW w:w="2051" w:type="dxa"/>
            <w:tcBorders>
              <w:top w:val="single" w:sz="4" w:space="0" w:color="auto"/>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不合格课程门数</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人文学院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2</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法律与公共管理学院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3</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经济与管理学院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外国语学院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教师教育学院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数学与统计学院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物理与电子工程学院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化学与环境科学学院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生物资源与食品工程学院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信息工程学院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体育学院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音乐舞蹈学院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美术学院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3</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rsidR="009B6F00" w:rsidRDefault="009B6F00">
            <w:pPr>
              <w:widowControl/>
              <w:jc w:val="left"/>
              <w:rPr>
                <w:rFonts w:ascii="宋体" w:hAnsi="宋体" w:cs="宋体"/>
                <w:color w:val="000000"/>
                <w:kern w:val="0"/>
                <w:sz w:val="24"/>
              </w:rPr>
            </w:pPr>
            <w:r>
              <w:rPr>
                <w:rFonts w:ascii="宋体" w:hAnsi="宋体" w:cs="宋体" w:hint="eastAsia"/>
                <w:color w:val="000000"/>
                <w:kern w:val="0"/>
                <w:sz w:val="24"/>
              </w:rPr>
              <w:t>城市学院</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w:t>
            </w:r>
          </w:p>
        </w:tc>
      </w:tr>
      <w:tr w:rsidR="009B6F00" w:rsidTr="009B6F00">
        <w:trPr>
          <w:trHeight w:val="285"/>
          <w:jc w:val="center"/>
        </w:trPr>
        <w:tc>
          <w:tcPr>
            <w:tcW w:w="2978" w:type="dxa"/>
            <w:tcBorders>
              <w:top w:val="nil"/>
              <w:left w:val="single" w:sz="4" w:space="0" w:color="auto"/>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合计</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1768"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75</w:t>
            </w:r>
          </w:p>
        </w:tc>
        <w:tc>
          <w:tcPr>
            <w:tcW w:w="170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69</w:t>
            </w:r>
          </w:p>
        </w:tc>
        <w:tc>
          <w:tcPr>
            <w:tcW w:w="2051" w:type="dxa"/>
            <w:tcBorders>
              <w:top w:val="nil"/>
              <w:left w:val="nil"/>
              <w:bottom w:val="single" w:sz="4" w:space="0" w:color="auto"/>
              <w:right w:val="single" w:sz="4" w:space="0" w:color="auto"/>
            </w:tcBorders>
            <w:noWrap/>
            <w:vAlign w:val="center"/>
            <w:hideMark/>
          </w:tcPr>
          <w:p w:rsidR="009B6F00" w:rsidRDefault="009B6F00">
            <w:pPr>
              <w:widowControl/>
              <w:jc w:val="center"/>
              <w:rPr>
                <w:rFonts w:ascii="宋体" w:hAnsi="宋体" w:cs="宋体"/>
                <w:color w:val="000000"/>
                <w:kern w:val="0"/>
                <w:sz w:val="24"/>
              </w:rPr>
            </w:pPr>
            <w:r>
              <w:rPr>
                <w:rFonts w:ascii="宋体" w:hAnsi="宋体" w:cs="宋体" w:hint="eastAsia"/>
                <w:color w:val="000000"/>
                <w:kern w:val="0"/>
                <w:sz w:val="24"/>
              </w:rPr>
              <w:t>12</w:t>
            </w:r>
          </w:p>
        </w:tc>
      </w:tr>
    </w:tbl>
    <w:p w:rsidR="009B6F00" w:rsidRDefault="009B6F00" w:rsidP="009B6F00">
      <w:pPr>
        <w:outlineLvl w:val="0"/>
        <w:rPr>
          <w:rFonts w:ascii="宋体" w:hAnsi="宋体"/>
          <w:b/>
          <w:sz w:val="28"/>
          <w:szCs w:val="28"/>
        </w:rPr>
      </w:pPr>
      <w:r>
        <w:rPr>
          <w:rFonts w:ascii="宋体" w:hAnsi="宋体" w:hint="eastAsia"/>
          <w:b/>
          <w:sz w:val="28"/>
          <w:szCs w:val="28"/>
        </w:rPr>
        <w:t>五、针对各观测点存在主要问题的改进措施及思路</w:t>
      </w:r>
    </w:p>
    <w:p w:rsidR="009B6F00" w:rsidRDefault="009B6F00" w:rsidP="009B6F00">
      <w:pPr>
        <w:rPr>
          <w:rFonts w:ascii="宋体" w:hAnsi="宋体"/>
          <w:b/>
          <w:color w:val="FF0000"/>
          <w:sz w:val="28"/>
          <w:szCs w:val="28"/>
        </w:rPr>
      </w:pPr>
      <w:r>
        <w:rPr>
          <w:rFonts w:hint="eastAsia"/>
          <w:sz w:val="28"/>
          <w:szCs w:val="28"/>
        </w:rPr>
        <w:lastRenderedPageBreak/>
        <w:t>（一）调整课程结构，提高课程体系与培养目标和社会需求的适应度</w:t>
      </w:r>
    </w:p>
    <w:p w:rsidR="009B6F00" w:rsidRDefault="009B6F00" w:rsidP="009B6F00">
      <w:pPr>
        <w:ind w:firstLineChars="200" w:firstLine="560"/>
        <w:rPr>
          <w:sz w:val="28"/>
          <w:szCs w:val="28"/>
        </w:rPr>
      </w:pPr>
      <w:r>
        <w:rPr>
          <w:rFonts w:hint="eastAsia"/>
          <w:sz w:val="28"/>
          <w:szCs w:val="28"/>
        </w:rPr>
        <w:t>坚持“有用、有效、先进”的理念，能力本位，应用导向，以专业培养目标和毕业要求倒逼课程供给侧改革。对专业人才培养方案中设置的课程进行全面清理和优化重构，严格课程准入，杜绝因人设课，确保每门课程对支撑毕业要求有明确的贡献。强化学生通识技能、专业技能和实践能力的培养，构建对接企业需求和文化，对接行业和职业标准、专业认证标准、国家专业标准的应用型人才培养课程体系。</w:t>
      </w:r>
    </w:p>
    <w:p w:rsidR="009B6F00" w:rsidRDefault="009B6F00" w:rsidP="009B6F00">
      <w:pPr>
        <w:ind w:firstLineChars="200" w:firstLine="560"/>
        <w:rPr>
          <w:sz w:val="28"/>
          <w:szCs w:val="28"/>
        </w:rPr>
      </w:pPr>
      <w:r>
        <w:rPr>
          <w:rFonts w:hint="eastAsia"/>
          <w:sz w:val="28"/>
          <w:szCs w:val="28"/>
        </w:rPr>
        <w:t>加强课程之间的有机联系和合理衔接，避免教学内容重复。整合课程门数，提高课程的综合性；注重课程修读的可选性，提高选修课程比重，满足学生自主组合课程、形成个性化学习方案的要求。</w:t>
      </w:r>
    </w:p>
    <w:p w:rsidR="009B6F00" w:rsidRDefault="009B6F00" w:rsidP="009B6F00">
      <w:pPr>
        <w:ind w:firstLineChars="200" w:firstLine="560"/>
        <w:rPr>
          <w:sz w:val="28"/>
          <w:szCs w:val="28"/>
        </w:rPr>
      </w:pPr>
      <w:r>
        <w:rPr>
          <w:rFonts w:hint="eastAsia"/>
          <w:sz w:val="28"/>
          <w:szCs w:val="28"/>
        </w:rPr>
        <w:t>在遵循学校培养方案总体框架的基础上，根据各专业的特点、学科积累和教学改革的需要，重点突破，开发或重构具有校本特色的课程或课程内容，设计构建彰显专业特色的独特的课程体系。</w:t>
      </w:r>
    </w:p>
    <w:p w:rsidR="009B6F00" w:rsidRDefault="009B6F00" w:rsidP="009B6F00">
      <w:pPr>
        <w:ind w:firstLineChars="200" w:firstLine="560"/>
        <w:rPr>
          <w:sz w:val="28"/>
          <w:szCs w:val="28"/>
        </w:rPr>
      </w:pPr>
      <w:r>
        <w:rPr>
          <w:rFonts w:hint="eastAsia"/>
          <w:sz w:val="28"/>
          <w:szCs w:val="28"/>
        </w:rPr>
        <w:t>要把人才市场的短周期性教育和人才培养的长远性有效地结合起来，处理好课程体系稳定性与岗位需求多变性的关系，满足社会需求的变化，提高课程体系的开放性，建设更为丰富、更具灵活性、学生有更大选择空间的课程体系。</w:t>
      </w:r>
    </w:p>
    <w:p w:rsidR="009B6F00" w:rsidRDefault="009B6F00" w:rsidP="009B6F00">
      <w:pPr>
        <w:rPr>
          <w:sz w:val="28"/>
          <w:szCs w:val="28"/>
        </w:rPr>
      </w:pPr>
      <w:r>
        <w:rPr>
          <w:rFonts w:hint="eastAsia"/>
          <w:sz w:val="28"/>
          <w:szCs w:val="28"/>
        </w:rPr>
        <w:t>（二）深化各类型课程改革，提升课程设置的有效度</w:t>
      </w:r>
    </w:p>
    <w:p w:rsidR="009B6F00" w:rsidRDefault="009B6F00" w:rsidP="009B6F00">
      <w:pPr>
        <w:ind w:firstLineChars="200" w:firstLine="560"/>
        <w:rPr>
          <w:sz w:val="28"/>
          <w:szCs w:val="28"/>
        </w:rPr>
      </w:pPr>
      <w:r>
        <w:rPr>
          <w:rFonts w:hint="eastAsia"/>
          <w:sz w:val="28"/>
          <w:szCs w:val="28"/>
        </w:rPr>
        <w:t>紧密围绕学校培养定位和要求，以学生为本，推进各类型课程的需求传导式结构性改革，满足学生有效性学习的需求。</w:t>
      </w:r>
    </w:p>
    <w:p w:rsidR="009B6F00" w:rsidRDefault="009B6F00" w:rsidP="009B6F00">
      <w:pPr>
        <w:ind w:firstLineChars="200" w:firstLine="560"/>
        <w:rPr>
          <w:sz w:val="28"/>
          <w:szCs w:val="28"/>
        </w:rPr>
      </w:pPr>
      <w:r>
        <w:rPr>
          <w:rFonts w:hint="eastAsia"/>
          <w:sz w:val="28"/>
          <w:szCs w:val="28"/>
        </w:rPr>
        <w:t>以对接行业或岗位能力需求为导向，整合专业教育必修和选修课程内容，重点关注培养学生的技术技能、职业素质和创新创业能力，</w:t>
      </w:r>
      <w:r>
        <w:rPr>
          <w:rFonts w:hint="eastAsia"/>
          <w:sz w:val="28"/>
          <w:szCs w:val="28"/>
        </w:rPr>
        <w:lastRenderedPageBreak/>
        <w:t>提高课程的综合化程度。尤其是基于产业链、创新链构建的特色学科专业群，更应强化特色课程集群的建设。探索以项目驱动、岗位衔接、校企共建等形式开设诸如创新创业类、实务类、技能类、实践生成类等多样化的专业模块课程群，打造专业方向特色，促进学生个性化发展，提高未来工作的适应性与竞争力。</w:t>
      </w:r>
    </w:p>
    <w:p w:rsidR="009B6F00" w:rsidRDefault="009B6F00" w:rsidP="009B6F00">
      <w:pPr>
        <w:ind w:firstLineChars="200" w:firstLine="560"/>
        <w:rPr>
          <w:sz w:val="28"/>
          <w:szCs w:val="28"/>
        </w:rPr>
      </w:pPr>
      <w:r>
        <w:rPr>
          <w:rFonts w:hint="eastAsia"/>
          <w:sz w:val="28"/>
          <w:szCs w:val="28"/>
        </w:rPr>
        <w:t>开展专业核心课程改革工程建设。依据应用技术技能性人才培养规律，剖析专业核心课程建设途径，加强校企合作，教研结合，推进以适应社会需求和提高课程质量为目的的专业核心课程建设工程，有效发挥专业核心课程构建学生专业核心知识、能力、素养的作用，建成一批学生广泛受益、在同类高校发挥示范引领作用的课程。开展以培养目标取舍课程内容、以工作过程序化课程内容的“工作过程系统化”课程的改革试点，教学过程对接生产过程，丰富课堂形态，提高专业能力和实务能力。</w:t>
      </w:r>
    </w:p>
    <w:p w:rsidR="009B6F00" w:rsidRDefault="009B6F00" w:rsidP="009B6F00">
      <w:pPr>
        <w:ind w:firstLineChars="200" w:firstLine="560"/>
        <w:rPr>
          <w:sz w:val="28"/>
          <w:szCs w:val="28"/>
        </w:rPr>
      </w:pPr>
      <w:r>
        <w:rPr>
          <w:rFonts w:hint="eastAsia"/>
          <w:sz w:val="28"/>
          <w:szCs w:val="28"/>
        </w:rPr>
        <w:t>推进专业导论课程改革项目。充分发挥课程的专业导学作用，推进多元化的教学方式改革，使学生充分理解专业性质、职业素养、学习内容、研究方法、知识能力结构及未来就业前景和领域，引导学生有效学习。探索专业导论课分年级贯通实施、小班研讨的教学方式，明确各阶段学习的主要任务，提高学生学习的针对性和目的性。</w:t>
      </w:r>
    </w:p>
    <w:p w:rsidR="009B6F00" w:rsidRDefault="009B6F00" w:rsidP="009B6F00">
      <w:pPr>
        <w:rPr>
          <w:sz w:val="28"/>
          <w:szCs w:val="28"/>
        </w:rPr>
      </w:pPr>
      <w:r>
        <w:rPr>
          <w:rFonts w:hint="eastAsia"/>
          <w:sz w:val="28"/>
          <w:szCs w:val="28"/>
        </w:rPr>
        <w:t>（三）加强课程基本要素的建设，提升课程目标与学习成效的一致度</w:t>
      </w:r>
    </w:p>
    <w:p w:rsidR="009B6F00" w:rsidRDefault="009B6F00" w:rsidP="009B6F00">
      <w:pPr>
        <w:ind w:firstLineChars="200" w:firstLine="560"/>
        <w:rPr>
          <w:sz w:val="28"/>
          <w:szCs w:val="28"/>
        </w:rPr>
      </w:pPr>
      <w:r>
        <w:rPr>
          <w:rFonts w:hint="eastAsia"/>
          <w:sz w:val="28"/>
          <w:szCs w:val="28"/>
        </w:rPr>
        <w:t>以“学生学习和发展成效”为核心，坚持科学性、先进性、系统性、规范性的原则，完善制订课程教学大纲、授课计划、成绩评定标准的指导意见，以规范新版课程教学大纲、授课计划的修订为抓手，</w:t>
      </w:r>
      <w:r>
        <w:rPr>
          <w:rFonts w:hint="eastAsia"/>
          <w:sz w:val="28"/>
          <w:szCs w:val="28"/>
        </w:rPr>
        <w:lastRenderedPageBreak/>
        <w:t>强化教学策划环节建设，聚焦教学内容、教学问题、教学方法与手段、教学进程等的设计，有效实现课程目标，提高课堂教学水平。</w:t>
      </w:r>
    </w:p>
    <w:p w:rsidR="009B6F00" w:rsidRDefault="009B6F00" w:rsidP="009B6F00">
      <w:pPr>
        <w:ind w:firstLineChars="200" w:firstLine="560"/>
        <w:rPr>
          <w:sz w:val="28"/>
          <w:szCs w:val="28"/>
        </w:rPr>
      </w:pPr>
      <w:r>
        <w:rPr>
          <w:rFonts w:hint="eastAsia"/>
          <w:sz w:val="28"/>
          <w:szCs w:val="28"/>
        </w:rPr>
        <w:t>（</w:t>
      </w:r>
      <w:r>
        <w:rPr>
          <w:sz w:val="28"/>
          <w:szCs w:val="28"/>
        </w:rPr>
        <w:t>1</w:t>
      </w:r>
      <w:r>
        <w:rPr>
          <w:rFonts w:hint="eastAsia"/>
          <w:sz w:val="28"/>
          <w:szCs w:val="28"/>
        </w:rPr>
        <w:t>）目标确立。每门课程目标需与毕业要求有明确的对应关系，能够支撑毕业要求的达成。通过课程学习，能有助于开发学生智力和自我发展潜力，有助于提高应用知识解决问题的能力，有助于确立学生正确的价值观、社会态度等，符合社会对毕业生专业行为和社会行为模式的期望。</w:t>
      </w:r>
    </w:p>
    <w:p w:rsidR="009B6F00" w:rsidRDefault="009B6F00" w:rsidP="009B6F00">
      <w:pPr>
        <w:ind w:firstLineChars="200" w:firstLine="560"/>
        <w:rPr>
          <w:sz w:val="28"/>
          <w:szCs w:val="28"/>
        </w:rPr>
      </w:pPr>
      <w:r>
        <w:rPr>
          <w:rFonts w:hint="eastAsia"/>
          <w:sz w:val="28"/>
          <w:szCs w:val="28"/>
        </w:rPr>
        <w:t>（</w:t>
      </w:r>
      <w:r>
        <w:rPr>
          <w:sz w:val="28"/>
          <w:szCs w:val="28"/>
        </w:rPr>
        <w:t>2</w:t>
      </w:r>
      <w:r>
        <w:rPr>
          <w:rFonts w:hint="eastAsia"/>
          <w:sz w:val="28"/>
          <w:szCs w:val="28"/>
        </w:rPr>
        <w:t>）内容设计。坚持“基于学习成效的教育”理念，以产出为导向，以支持课程目标达成为准则，精心设计课程内容，使各知识点（单元）与课程目标有明确的对应关系。课程内容应能够反映本课程领域最新的发展水平，能与社会职业需求对接，建立随社会需求变化而灵活调整课程内容的动态调整机制，实现毕业与就业零距离。强化课程概念性结构的建立，知识点梳理清晰，逻辑结构合理，各知识单元之间连接恰当，与其他课程内容衔接顺畅。促进科研与教学互动，及时把我校承担的科研项目和成果转化为课程内容和项目实训中，并将其作为教师考核的内容之一。</w:t>
      </w:r>
    </w:p>
    <w:p w:rsidR="009B6F00" w:rsidRDefault="009B6F00" w:rsidP="009B6F00">
      <w:pPr>
        <w:ind w:firstLineChars="200" w:firstLine="560"/>
        <w:rPr>
          <w:sz w:val="28"/>
          <w:szCs w:val="28"/>
        </w:rPr>
      </w:pPr>
      <w:r>
        <w:rPr>
          <w:rFonts w:hint="eastAsia"/>
          <w:sz w:val="28"/>
          <w:szCs w:val="28"/>
        </w:rPr>
        <w:t>（</w:t>
      </w:r>
      <w:r>
        <w:rPr>
          <w:sz w:val="28"/>
          <w:szCs w:val="28"/>
        </w:rPr>
        <w:t>3</w:t>
      </w:r>
      <w:r>
        <w:rPr>
          <w:rFonts w:hint="eastAsia"/>
          <w:sz w:val="28"/>
          <w:szCs w:val="28"/>
        </w:rPr>
        <w:t>）教学组织。以学生为主体、教师为主导组织教学。每门课程应结合课程教学内容与预期效果，遵循学生认知和技能形成的规律，将学生的学习经历、体验过程和相应的教学方法、手段与措施进行有效组合，形成完整的课程教学方案，支撑课程目标的有效达成。创新课堂教学模式，推进启发式，探究式、案例式、讨论式、项目式、研讨式、情景式等教学，充分调动学生的学习积极性、主动性和创造性；</w:t>
      </w:r>
      <w:r>
        <w:rPr>
          <w:rFonts w:hint="eastAsia"/>
          <w:sz w:val="28"/>
          <w:szCs w:val="28"/>
        </w:rPr>
        <w:lastRenderedPageBreak/>
        <w:t>合理规划课内外学时，明确课内课外各教学环节的学习活动及对应的学时数，引导学生进行自主学习、探究式学习和协作式学习。促使学生知识融会贯通，能力得到提升。</w:t>
      </w:r>
    </w:p>
    <w:p w:rsidR="009B6F00" w:rsidRDefault="009B6F00" w:rsidP="009B6F00">
      <w:pPr>
        <w:ind w:firstLineChars="200" w:firstLine="560"/>
        <w:rPr>
          <w:sz w:val="28"/>
          <w:szCs w:val="28"/>
        </w:rPr>
      </w:pPr>
      <w:r>
        <w:rPr>
          <w:rFonts w:hint="eastAsia"/>
          <w:sz w:val="28"/>
          <w:szCs w:val="28"/>
        </w:rPr>
        <w:t>（</w:t>
      </w:r>
      <w:r>
        <w:rPr>
          <w:sz w:val="28"/>
          <w:szCs w:val="28"/>
        </w:rPr>
        <w:t>4</w:t>
      </w:r>
      <w:r>
        <w:rPr>
          <w:rFonts w:hint="eastAsia"/>
          <w:sz w:val="28"/>
          <w:szCs w:val="28"/>
        </w:rPr>
        <w:t>）教学评价。以课程目标达成评价为引领，设置有明确目的蛀和指向性的考核环节，有效地引导学生学习和科学地评价学习成效。积极探索课内课外融合的全流程的形成性考核评价模式，注重考核学生综合运用所学知识和技能分析、解决实际问题的能力。推进考核方式多元化，如开卷考试、口试、答辩和现场测试、实际操作、网络测试等，有效评判学生知识的增长、能力的提升、素质的养成。制定课程考核详细的评分标准，确保考核的公平公正，帮助学生更好达成课程学习效果。</w:t>
      </w:r>
    </w:p>
    <w:p w:rsidR="009B6F00" w:rsidRDefault="009B6F00" w:rsidP="009B6F00">
      <w:pPr>
        <w:rPr>
          <w:sz w:val="28"/>
          <w:szCs w:val="28"/>
        </w:rPr>
      </w:pPr>
      <w:r>
        <w:rPr>
          <w:rFonts w:hint="eastAsia"/>
          <w:sz w:val="28"/>
          <w:szCs w:val="28"/>
        </w:rPr>
        <w:t>（四）制定课程建设标准，提高课程教学和质量保障体系运行保障度</w:t>
      </w:r>
    </w:p>
    <w:p w:rsidR="009B6F00" w:rsidRDefault="009B6F00" w:rsidP="009B6F00">
      <w:pPr>
        <w:ind w:firstLineChars="200" w:firstLine="560"/>
        <w:rPr>
          <w:sz w:val="28"/>
          <w:szCs w:val="28"/>
        </w:rPr>
      </w:pPr>
      <w:r>
        <w:rPr>
          <w:rFonts w:hint="eastAsia"/>
          <w:sz w:val="28"/>
          <w:szCs w:val="28"/>
        </w:rPr>
        <w:t>课程建设质量标准化建设。分类研制课程建设通用质量标准，以保证课程建设质量有度可量。有计划、分批次地推进专业教育类课程、通识核心和专项以及文理必修类课程、通识选修类课程的质量标准实施落实。</w:t>
      </w:r>
    </w:p>
    <w:p w:rsidR="009B6F00" w:rsidRDefault="009B6F00" w:rsidP="009B6F00">
      <w:pPr>
        <w:ind w:firstLineChars="200" w:firstLine="560"/>
        <w:rPr>
          <w:sz w:val="28"/>
          <w:szCs w:val="28"/>
        </w:rPr>
      </w:pPr>
      <w:r>
        <w:rPr>
          <w:rFonts w:hint="eastAsia"/>
          <w:sz w:val="28"/>
          <w:szCs w:val="28"/>
        </w:rPr>
        <w:t>完善课程建设质量评估制度。研制课程建没质量评估指标体系，以保障课程建设有效监测和评价，引导和推动教师积极开展课程建设。分阶段、分类型、分批次、分重点地开展一轮课程建设质量评估。完善第三方对课程设置与建设满意度的跟踪调查。</w:t>
      </w:r>
    </w:p>
    <w:p w:rsidR="009B6F00" w:rsidRDefault="009B6F00" w:rsidP="009B6F00">
      <w:pPr>
        <w:ind w:firstLineChars="200" w:firstLine="560"/>
        <w:rPr>
          <w:sz w:val="28"/>
          <w:szCs w:val="28"/>
        </w:rPr>
      </w:pPr>
      <w:r>
        <w:rPr>
          <w:rFonts w:hint="eastAsia"/>
          <w:sz w:val="28"/>
          <w:szCs w:val="28"/>
        </w:rPr>
        <w:t>健全课程评估结果综合运用机制，多形式扩大评估结果的运用范围，充分发挥评估对课程建设的积极引导和促进作用，扭转课程建好</w:t>
      </w:r>
      <w:r>
        <w:rPr>
          <w:rFonts w:hint="eastAsia"/>
          <w:sz w:val="28"/>
          <w:szCs w:val="28"/>
        </w:rPr>
        <w:lastRenderedPageBreak/>
        <w:t>建坏一样的局面。</w:t>
      </w:r>
    </w:p>
    <w:p w:rsidR="009B6F00" w:rsidRDefault="009B6F00" w:rsidP="009B6F00">
      <w:pPr>
        <w:ind w:firstLineChars="200" w:firstLine="560"/>
        <w:rPr>
          <w:sz w:val="28"/>
          <w:szCs w:val="28"/>
        </w:rPr>
      </w:pPr>
      <w:r>
        <w:rPr>
          <w:rFonts w:hint="eastAsia"/>
          <w:sz w:val="28"/>
          <w:szCs w:val="28"/>
        </w:rPr>
        <w:t>完善课程建设持续改进机制，形成课程建设质量的闭环管理，构建课程建设的新常态。</w:t>
      </w:r>
    </w:p>
    <w:p w:rsidR="009B6F00" w:rsidRDefault="009B6F00" w:rsidP="009B6F00">
      <w:pPr>
        <w:rPr>
          <w:sz w:val="28"/>
          <w:szCs w:val="28"/>
        </w:rPr>
      </w:pPr>
      <w:r>
        <w:rPr>
          <w:rFonts w:hint="eastAsia"/>
          <w:sz w:val="28"/>
          <w:szCs w:val="28"/>
        </w:rPr>
        <w:t>（五）强化实践教学，提升创新实践能力与应用型人才需求的符合度</w:t>
      </w:r>
    </w:p>
    <w:p w:rsidR="009B6F00" w:rsidRDefault="009B6F00" w:rsidP="009B6F00">
      <w:pPr>
        <w:ind w:firstLineChars="200" w:firstLine="560"/>
        <w:rPr>
          <w:sz w:val="28"/>
          <w:szCs w:val="28"/>
        </w:rPr>
      </w:pPr>
      <w:r>
        <w:rPr>
          <w:rFonts w:hint="eastAsia"/>
          <w:sz w:val="28"/>
          <w:szCs w:val="28"/>
        </w:rPr>
        <w:t>提高实践课程比例，完善基础能力、专业能力、综合设计能力、研究创新能力四层次构建的应用型人才培养的实验教学体系。建立专业实验与专业训练、专业技能培养与实践体验相结合的实验教学模式。打造贴近实际的模拟、虚拟、仿真实验环境，加强虚拟实验教学资源和实验室建设。构建功能集约、开放充分、运作高效的实验教学平台，为学生自主学习、自主实验和创新创业活动创造条件。</w:t>
      </w:r>
    </w:p>
    <w:p w:rsidR="009B6F00" w:rsidRDefault="009B6F00" w:rsidP="009B6F00">
      <w:pPr>
        <w:ind w:firstLineChars="200" w:firstLine="560"/>
        <w:rPr>
          <w:sz w:val="28"/>
          <w:szCs w:val="28"/>
        </w:rPr>
      </w:pPr>
      <w:r>
        <w:rPr>
          <w:rFonts w:hint="eastAsia"/>
          <w:sz w:val="28"/>
          <w:szCs w:val="28"/>
        </w:rPr>
        <w:t>注重实验教学内容与职业能力对接，把行业企业的一线需要作为毕业设计选题来源。加强实验教学研究，创新实验教学内容与方式。以问题导向和与行业产业技术同步为出发点，校企联合开发或更新实验教学内容和实验项目，确保实验项目库总量，提高年更新率和设计研究和创新型实验项目比例，鼓励开发项目引导的赛课计划。</w:t>
      </w:r>
    </w:p>
    <w:p w:rsidR="009B6F00" w:rsidRDefault="009B6F00" w:rsidP="009B6F00">
      <w:pPr>
        <w:ind w:firstLineChars="200" w:firstLine="560"/>
        <w:rPr>
          <w:sz w:val="28"/>
          <w:szCs w:val="28"/>
        </w:rPr>
      </w:pPr>
      <w:r>
        <w:rPr>
          <w:rFonts w:hint="eastAsia"/>
          <w:sz w:val="28"/>
          <w:szCs w:val="28"/>
        </w:rPr>
        <w:t>健全创新创业教育课程体系。调整专业课程设置，挖掘和充实各类专业课程的创新创业教育内容与资源，注重培养学生的批判性和创新型思维，激发创新创业灵感。引进和开发一批研究方法、学科前沿、创业基础、就业创业指导等方面的必修课和选修课，充实学校的创新创业教育课程。结合学校实际联动推进教师把国际前沿学术发展、最新研究成果和实践经验融入课堂教学和学科竞赛，建设依次递进、有机衔接、科学合理的创新创业教育专门课程群，构建我校创新创业基</w:t>
      </w:r>
      <w:r>
        <w:rPr>
          <w:rFonts w:hint="eastAsia"/>
          <w:sz w:val="28"/>
          <w:szCs w:val="28"/>
        </w:rPr>
        <w:lastRenderedPageBreak/>
        <w:t>础教育与专业实践融通的的课程体系。</w:t>
      </w:r>
    </w:p>
    <w:p w:rsidR="009B6F00" w:rsidRDefault="009B6F00" w:rsidP="009B6F00">
      <w:pPr>
        <w:ind w:firstLineChars="200" w:firstLine="560"/>
        <w:rPr>
          <w:sz w:val="28"/>
          <w:szCs w:val="28"/>
        </w:rPr>
      </w:pPr>
      <w:r>
        <w:rPr>
          <w:rFonts w:hint="eastAsia"/>
          <w:sz w:val="28"/>
          <w:szCs w:val="28"/>
        </w:rPr>
        <w:t>（六）加强教师团队建设，提高师资与应用型大学要求的匹配度</w:t>
      </w:r>
    </w:p>
    <w:p w:rsidR="009B6F00" w:rsidRDefault="009B6F00" w:rsidP="009B6F00">
      <w:pPr>
        <w:ind w:firstLineChars="200" w:firstLine="560"/>
        <w:rPr>
          <w:sz w:val="28"/>
          <w:szCs w:val="28"/>
        </w:rPr>
      </w:pPr>
      <w:r>
        <w:rPr>
          <w:rFonts w:hint="eastAsia"/>
          <w:sz w:val="28"/>
          <w:szCs w:val="28"/>
        </w:rPr>
        <w:t>以课程为载体，着力构建以保障课程质量为宗旨的教师教学共同体，重点建设一批结构合理、校企合作、人员稳定、教学效果好的课程教师团队。积极探索本校教师、行业企业专家与技术骨干组成有效的课程团队的合作机制，建立专业性、实践性较强的课程实施校企共同建设课程的“双元主体”制度。推进部分课程“一课多师，一师多课”的授课模式，充分发挥教师各自的特长和优势，建设“多师”型课程。</w:t>
      </w:r>
    </w:p>
    <w:p w:rsidR="009B6F00" w:rsidRDefault="009B6F00" w:rsidP="009B6F00">
      <w:pPr>
        <w:ind w:firstLineChars="200" w:firstLine="560"/>
        <w:rPr>
          <w:sz w:val="28"/>
          <w:szCs w:val="28"/>
        </w:rPr>
      </w:pPr>
      <w:r>
        <w:rPr>
          <w:rFonts w:hint="eastAsia"/>
          <w:sz w:val="28"/>
          <w:szCs w:val="28"/>
        </w:rPr>
        <w:t>理顺课程归属，落实课程负责人制度。明确课程负责人的责权利，完善责权划分制约机制，强化教师在课程建设中的主体地位，有效推进课程建设。</w:t>
      </w:r>
    </w:p>
    <w:p w:rsidR="009B6F00" w:rsidRDefault="009B6F00" w:rsidP="009B6F00">
      <w:pPr>
        <w:ind w:firstLineChars="200" w:firstLine="560"/>
        <w:rPr>
          <w:sz w:val="28"/>
          <w:szCs w:val="28"/>
        </w:rPr>
      </w:pPr>
      <w:r>
        <w:rPr>
          <w:rFonts w:hint="eastAsia"/>
          <w:sz w:val="28"/>
          <w:szCs w:val="28"/>
        </w:rPr>
        <w:t>充分发挥教师发展中心的作用，加强教师教学能力建设，提高教师在信息化环境下创新教育教学的水平，促进课程教师队伍建设的可持续发展。</w:t>
      </w:r>
    </w:p>
    <w:p w:rsidR="009B6F00" w:rsidRDefault="009B6F00" w:rsidP="009B6F00">
      <w:pPr>
        <w:ind w:firstLineChars="200" w:firstLine="560"/>
        <w:rPr>
          <w:sz w:val="28"/>
          <w:szCs w:val="28"/>
        </w:rPr>
      </w:pPr>
      <w:r>
        <w:rPr>
          <w:rFonts w:hint="eastAsia"/>
          <w:sz w:val="28"/>
          <w:szCs w:val="28"/>
        </w:rPr>
        <w:t>（七）加强信息化建设，提高课程资源对教学的支撑度</w:t>
      </w:r>
    </w:p>
    <w:p w:rsidR="009B6F00" w:rsidRDefault="009B6F00" w:rsidP="009B6F00">
      <w:pPr>
        <w:ind w:firstLineChars="200" w:firstLine="560"/>
        <w:rPr>
          <w:sz w:val="28"/>
          <w:szCs w:val="28"/>
        </w:rPr>
      </w:pPr>
      <w:r>
        <w:rPr>
          <w:sz w:val="28"/>
          <w:szCs w:val="28"/>
        </w:rPr>
        <w:t>1</w:t>
      </w:r>
      <w:r>
        <w:rPr>
          <w:rFonts w:hint="eastAsia"/>
          <w:sz w:val="28"/>
          <w:szCs w:val="28"/>
        </w:rPr>
        <w:t>．网络课程建设</w:t>
      </w:r>
    </w:p>
    <w:p w:rsidR="009B6F00" w:rsidRDefault="009B6F00" w:rsidP="009B6F00">
      <w:pPr>
        <w:ind w:firstLineChars="200" w:firstLine="560"/>
        <w:rPr>
          <w:sz w:val="28"/>
          <w:szCs w:val="28"/>
        </w:rPr>
      </w:pPr>
      <w:r>
        <w:rPr>
          <w:rFonts w:hint="eastAsia"/>
          <w:sz w:val="28"/>
          <w:szCs w:val="28"/>
        </w:rPr>
        <w:t>积极探索基于互联网技术的多种教学形式的课程改革，制定在线课程管理办法，建立在线课程学习认证和学分认定制度。开发或引进优质的在线课程，实现课堂教学与在线学习的深度融合。推进基于线上线下、校内校外相结合的多种形式的混合式教学，逐步实现量大面广的文理基础必修课程、专业核心课程的混合式课堂数学覆盖率。探</w:t>
      </w:r>
      <w:r>
        <w:rPr>
          <w:rFonts w:hint="eastAsia"/>
          <w:sz w:val="28"/>
          <w:szCs w:val="28"/>
        </w:rPr>
        <w:lastRenderedPageBreak/>
        <w:t>索在线开放课程的延伸性建设，开发一批适合本科在线课程，搭建各层次贯通的课程通道，吸引优质生源。</w:t>
      </w:r>
    </w:p>
    <w:p w:rsidR="009B6F00" w:rsidRDefault="009B6F00" w:rsidP="009B6F00">
      <w:pPr>
        <w:ind w:firstLineChars="200" w:firstLine="560"/>
        <w:rPr>
          <w:sz w:val="28"/>
          <w:szCs w:val="28"/>
        </w:rPr>
      </w:pPr>
      <w:r>
        <w:rPr>
          <w:sz w:val="28"/>
          <w:szCs w:val="28"/>
        </w:rPr>
        <w:t>2</w:t>
      </w:r>
      <w:r>
        <w:rPr>
          <w:rFonts w:hint="eastAsia"/>
          <w:sz w:val="28"/>
          <w:szCs w:val="28"/>
        </w:rPr>
        <w:t>．教材建设</w:t>
      </w:r>
    </w:p>
    <w:p w:rsidR="009B6F00" w:rsidRDefault="009B6F00" w:rsidP="009B6F00">
      <w:pPr>
        <w:ind w:firstLineChars="200" w:firstLine="560"/>
        <w:rPr>
          <w:sz w:val="28"/>
          <w:szCs w:val="28"/>
        </w:rPr>
      </w:pPr>
      <w:r>
        <w:rPr>
          <w:rFonts w:hint="eastAsia"/>
          <w:sz w:val="28"/>
          <w:szCs w:val="28"/>
        </w:rPr>
        <w:t>积极选用或者编写符合课程目标要求的高水平教材，鼓励使用国家、省部级和学校原创出版的优秀教材及近期出版的新教材，基本形成国家、省部和学校的三级优秀教材使用体系。</w:t>
      </w:r>
    </w:p>
    <w:p w:rsidR="009B6F00" w:rsidRDefault="009B6F00" w:rsidP="009B6F00">
      <w:pPr>
        <w:ind w:firstLineChars="200" w:firstLine="560"/>
        <w:rPr>
          <w:sz w:val="28"/>
          <w:szCs w:val="28"/>
        </w:rPr>
      </w:pPr>
      <w:r>
        <w:rPr>
          <w:rFonts w:hint="eastAsia"/>
          <w:sz w:val="28"/>
          <w:szCs w:val="28"/>
        </w:rPr>
        <w:t>鼓励教师从不同角度、不同层次为教学提供整体解决方案，编写符合教学要求、反映教学改革成果，具有我校特色的高水平教材。重点建设一批特色专业的基础课程教材、专业核心课程教材、实验实践类教材。并注重立体化教材和新媒体教材建设，探索适合基于网络课堂、手机推送系统等网络数字化手段的电子教材。完善教材管理信息系统及数据库建设，收集教材信息，及时有效地将目前最新最好的教材信息传递给师生，供其选用。及时跟踪教材建设和使用情况，评估教材使用效果，及时调整改进，提高教材建设与选用的质量。</w:t>
      </w:r>
    </w:p>
    <w:p w:rsidR="009B6F00" w:rsidRDefault="009B6F00" w:rsidP="009B6F00">
      <w:pPr>
        <w:ind w:firstLineChars="200" w:firstLine="560"/>
        <w:rPr>
          <w:sz w:val="28"/>
          <w:szCs w:val="28"/>
        </w:rPr>
      </w:pPr>
      <w:r>
        <w:rPr>
          <w:sz w:val="28"/>
          <w:szCs w:val="28"/>
        </w:rPr>
        <w:t>3</w:t>
      </w:r>
      <w:r>
        <w:rPr>
          <w:rFonts w:hint="eastAsia"/>
          <w:sz w:val="28"/>
          <w:szCs w:val="28"/>
        </w:rPr>
        <w:t>．教学资源信息化建设</w:t>
      </w:r>
    </w:p>
    <w:p w:rsidR="009B6F00" w:rsidRDefault="009B6F00" w:rsidP="009B6F00">
      <w:pPr>
        <w:ind w:firstLineChars="200" w:firstLine="560"/>
        <w:rPr>
          <w:sz w:val="28"/>
          <w:szCs w:val="28"/>
        </w:rPr>
      </w:pPr>
      <w:r>
        <w:rPr>
          <w:rFonts w:hint="eastAsia"/>
          <w:sz w:val="28"/>
          <w:szCs w:val="28"/>
        </w:rPr>
        <w:t>完善“课程与资源中心”管理制度，推进课程建设与信息化技术的深度融合，实现优质教学资源共享。推动信息化教学、虚拟现实技术、数字仿真实验、在线知识支持、在线教学检测等教学资源的广泛应用，基本实现全校所有课程教学资源信息化。不断丰富网络教学资源和自主学习平台，构建宽松的学习环境。实现课程数字资源全覆盖。</w:t>
      </w:r>
    </w:p>
    <w:p w:rsidR="009B6F00" w:rsidRDefault="009B6F00" w:rsidP="009B6F00">
      <w:pPr>
        <w:ind w:firstLineChars="200" w:firstLine="560"/>
        <w:rPr>
          <w:sz w:val="28"/>
          <w:szCs w:val="28"/>
        </w:rPr>
      </w:pPr>
      <w:r>
        <w:rPr>
          <w:rFonts w:hint="eastAsia"/>
          <w:sz w:val="28"/>
          <w:szCs w:val="28"/>
        </w:rPr>
        <w:t>整合校外课程资源，搭建校企之间信息化交流平台，力争让企业一线的生产过程、工作流程等信息实时传输到学校，使企业专业人才</w:t>
      </w:r>
      <w:r>
        <w:rPr>
          <w:rFonts w:hint="eastAsia"/>
          <w:sz w:val="28"/>
          <w:szCs w:val="28"/>
        </w:rPr>
        <w:lastRenderedPageBreak/>
        <w:t>和能工巧匠可以在生产现场直接开展教学工作，促进企业新技术、新工艺等资源与课堂教学内容有机结合。</w:t>
      </w:r>
    </w:p>
    <w:p w:rsidR="009B6F00" w:rsidRDefault="009B6F00" w:rsidP="009B6F00">
      <w:pPr>
        <w:ind w:firstLineChars="200" w:firstLine="560"/>
        <w:rPr>
          <w:sz w:val="28"/>
          <w:szCs w:val="28"/>
        </w:rPr>
      </w:pPr>
      <w:r>
        <w:rPr>
          <w:rFonts w:hint="eastAsia"/>
          <w:sz w:val="28"/>
          <w:szCs w:val="28"/>
        </w:rPr>
        <w:t>深化教育管理信息化建设，逐步推进基于大数据和学习分析技术开展教师课堂教学行为和学生学习行为诊断，实现个性化的资源推送和教学互动，拓展和提升数据的服务范围和服务能力，初步实现基于数据的教育管理科学决策支撑和精准教学管理。</w:t>
      </w:r>
    </w:p>
    <w:p w:rsidR="009B6F00" w:rsidRDefault="009B6F00" w:rsidP="009B6F00">
      <w:pPr>
        <w:ind w:firstLineChars="200" w:firstLine="560"/>
        <w:rPr>
          <w:sz w:val="28"/>
          <w:szCs w:val="28"/>
        </w:rPr>
      </w:pPr>
      <w:r>
        <w:rPr>
          <w:sz w:val="28"/>
          <w:szCs w:val="28"/>
        </w:rPr>
        <w:t>4</w:t>
      </w:r>
      <w:r>
        <w:rPr>
          <w:rFonts w:hint="eastAsia"/>
          <w:sz w:val="28"/>
          <w:szCs w:val="28"/>
        </w:rPr>
        <w:t>．课程档案建设</w:t>
      </w:r>
    </w:p>
    <w:p w:rsidR="009B6F00" w:rsidRDefault="009B6F00" w:rsidP="009B6F00">
      <w:pPr>
        <w:ind w:firstLineChars="200" w:firstLine="560"/>
        <w:rPr>
          <w:sz w:val="28"/>
          <w:szCs w:val="28"/>
        </w:rPr>
      </w:pPr>
      <w:r>
        <w:rPr>
          <w:rFonts w:hint="eastAsia"/>
          <w:sz w:val="28"/>
          <w:szCs w:val="28"/>
        </w:rPr>
        <w:t>完善学校教学工作档案建设规范，强化课程相关资料的收集整理、分类归档，妥善保存，以利于追溯课程发展轨迹，开展课程研究，保障课程质量。学校开设的所有课程均应建立规范的档案，并努力实现数字信息化，开展课程大数据的分析与监测，提高课程建设水平。</w:t>
      </w:r>
    </w:p>
    <w:p w:rsidR="009B6F00" w:rsidRDefault="009B6F00" w:rsidP="009B6F00">
      <w:pPr>
        <w:ind w:firstLineChars="200" w:firstLine="560"/>
        <w:rPr>
          <w:sz w:val="28"/>
          <w:szCs w:val="28"/>
        </w:rPr>
      </w:pPr>
      <w:r>
        <w:rPr>
          <w:rFonts w:hint="eastAsia"/>
          <w:sz w:val="28"/>
          <w:szCs w:val="28"/>
        </w:rPr>
        <w:t>通过调整和改革与培养应用型人才相适应的课程目标、课程结构、课程内容、课程组织、课程评价等课程要素，形成结构合理、设置科学、特色鲜明、可持续发展的本科课程体系。提高教师教育教学能力，建设一批高水平的优质教育教学资源，构建较为完善的可持续性的课程建设管理机制。使我校的课程能够满足地方产业结构调整和升级对人才的需要、满足职业岗位的知识能力需要、满足学生运用专业知识和熟练技术创造性解决问题的需要。</w:t>
      </w:r>
    </w:p>
    <w:p w:rsidR="009B6F00" w:rsidRDefault="009B6F00" w:rsidP="009B6F00">
      <w:pPr>
        <w:rPr>
          <w:rFonts w:ascii="宋体" w:hAnsi="宋体"/>
          <w:color w:val="FF0000"/>
          <w:sz w:val="28"/>
          <w:szCs w:val="28"/>
        </w:rPr>
      </w:pPr>
    </w:p>
    <w:p w:rsidR="00F26C20" w:rsidRPr="009B6F00" w:rsidRDefault="00F26C20"/>
    <w:sectPr w:rsidR="00F26C20" w:rsidRPr="009B6F00" w:rsidSect="00A27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7E" w:rsidRDefault="00381E7E" w:rsidP="009B6F00">
      <w:r>
        <w:separator/>
      </w:r>
    </w:p>
  </w:endnote>
  <w:endnote w:type="continuationSeparator" w:id="0">
    <w:p w:rsidR="00381E7E" w:rsidRDefault="00381E7E" w:rsidP="009B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iaoBiaoSong-B05">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847"/>
      <w:docPartObj>
        <w:docPartGallery w:val="Page Numbers (Bottom of Page)"/>
        <w:docPartUnique/>
      </w:docPartObj>
    </w:sdtPr>
    <w:sdtEndPr/>
    <w:sdtContent>
      <w:p w:rsidR="004F2F73" w:rsidRDefault="00381E7E">
        <w:pPr>
          <w:pStyle w:val="a5"/>
          <w:jc w:val="center"/>
        </w:pPr>
        <w:r>
          <w:fldChar w:fldCharType="begin"/>
        </w:r>
        <w:r>
          <w:instrText xml:space="preserve"> PAGE   \* MERGEFORMAT </w:instrText>
        </w:r>
        <w:r>
          <w:fldChar w:fldCharType="separate"/>
        </w:r>
        <w:r w:rsidR="005A7882" w:rsidRPr="005A7882">
          <w:rPr>
            <w:noProof/>
            <w:lang w:val="zh-CN"/>
          </w:rPr>
          <w:t>18</w:t>
        </w:r>
        <w:r>
          <w:rPr>
            <w:noProof/>
            <w:lang w:val="zh-CN"/>
          </w:rPr>
          <w:fldChar w:fldCharType="end"/>
        </w:r>
      </w:p>
    </w:sdtContent>
  </w:sdt>
  <w:p w:rsidR="004F2F73" w:rsidRDefault="004F2F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7E" w:rsidRDefault="00381E7E" w:rsidP="009B6F00">
      <w:r>
        <w:separator/>
      </w:r>
    </w:p>
  </w:footnote>
  <w:footnote w:type="continuationSeparator" w:id="0">
    <w:p w:rsidR="00381E7E" w:rsidRDefault="00381E7E" w:rsidP="009B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F00"/>
    <w:rsid w:val="001604A7"/>
    <w:rsid w:val="00381E7E"/>
    <w:rsid w:val="004F2F73"/>
    <w:rsid w:val="005A7882"/>
    <w:rsid w:val="009020AC"/>
    <w:rsid w:val="009502FE"/>
    <w:rsid w:val="009B6F00"/>
    <w:rsid w:val="00A27720"/>
    <w:rsid w:val="00B342D2"/>
    <w:rsid w:val="00F26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F8A2"/>
  <w15:docId w15:val="{F69B8569-6A7D-4EC7-97A3-CECB4BFB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F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6F00"/>
    <w:rPr>
      <w:sz w:val="18"/>
      <w:szCs w:val="18"/>
    </w:rPr>
  </w:style>
  <w:style w:type="paragraph" w:styleId="a5">
    <w:name w:val="footer"/>
    <w:basedOn w:val="a"/>
    <w:link w:val="a6"/>
    <w:uiPriority w:val="99"/>
    <w:unhideWhenUsed/>
    <w:rsid w:val="009B6F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6F00"/>
    <w:rPr>
      <w:sz w:val="18"/>
      <w:szCs w:val="18"/>
    </w:rPr>
  </w:style>
  <w:style w:type="paragraph" w:styleId="a7">
    <w:name w:val="Body Text"/>
    <w:basedOn w:val="a"/>
    <w:link w:val="a8"/>
    <w:semiHidden/>
    <w:unhideWhenUsed/>
    <w:rsid w:val="009B6F00"/>
    <w:pPr>
      <w:spacing w:after="120"/>
    </w:pPr>
  </w:style>
  <w:style w:type="character" w:customStyle="1" w:styleId="a8">
    <w:name w:val="正文文本 字符"/>
    <w:basedOn w:val="a0"/>
    <w:link w:val="a7"/>
    <w:semiHidden/>
    <w:rsid w:val="009B6F00"/>
    <w:rPr>
      <w:rFonts w:ascii="Times New Roman" w:eastAsia="宋体" w:hAnsi="Times New Roman" w:cs="Times New Roman"/>
      <w:szCs w:val="24"/>
    </w:rPr>
  </w:style>
  <w:style w:type="paragraph" w:styleId="a9">
    <w:name w:val="Body Text Indent"/>
    <w:basedOn w:val="a"/>
    <w:link w:val="aa"/>
    <w:semiHidden/>
    <w:unhideWhenUsed/>
    <w:rsid w:val="009B6F00"/>
    <w:pPr>
      <w:spacing w:after="120"/>
      <w:ind w:leftChars="200" w:left="420"/>
    </w:pPr>
  </w:style>
  <w:style w:type="character" w:customStyle="1" w:styleId="aa">
    <w:name w:val="正文文本缩进 字符"/>
    <w:basedOn w:val="a0"/>
    <w:link w:val="a9"/>
    <w:semiHidden/>
    <w:rsid w:val="009B6F00"/>
    <w:rPr>
      <w:rFonts w:ascii="Times New Roman" w:eastAsia="宋体" w:hAnsi="Times New Roman" w:cs="Times New Roman"/>
      <w:szCs w:val="24"/>
    </w:rPr>
  </w:style>
  <w:style w:type="paragraph" w:styleId="ab">
    <w:name w:val="Balloon Text"/>
    <w:basedOn w:val="a"/>
    <w:link w:val="ac"/>
    <w:semiHidden/>
    <w:unhideWhenUsed/>
    <w:rsid w:val="009B6F00"/>
    <w:rPr>
      <w:sz w:val="18"/>
      <w:szCs w:val="18"/>
    </w:rPr>
  </w:style>
  <w:style w:type="character" w:customStyle="1" w:styleId="Char">
    <w:name w:val="批注框文本 Char"/>
    <w:basedOn w:val="a0"/>
    <w:semiHidden/>
    <w:rsid w:val="009B6F00"/>
    <w:rPr>
      <w:rFonts w:ascii="Times New Roman" w:eastAsia="宋体" w:hAnsi="Times New Roman" w:cs="Times New Roman"/>
      <w:sz w:val="18"/>
      <w:szCs w:val="18"/>
    </w:rPr>
  </w:style>
  <w:style w:type="paragraph" w:customStyle="1" w:styleId="Default">
    <w:name w:val="Default"/>
    <w:qFormat/>
    <w:rsid w:val="009B6F00"/>
    <w:pPr>
      <w:widowControl w:val="0"/>
      <w:autoSpaceDE w:val="0"/>
      <w:autoSpaceDN w:val="0"/>
      <w:adjustRightInd w:val="0"/>
    </w:pPr>
    <w:rPr>
      <w:rFonts w:ascii="FZXiaoBiaoSong-B05" w:eastAsia="FZXiaoBiaoSong-B05" w:hAnsi="Calibri" w:cs="FZXiaoBiaoSong-B05"/>
      <w:color w:val="000000"/>
      <w:kern w:val="0"/>
      <w:sz w:val="24"/>
      <w:szCs w:val="24"/>
    </w:rPr>
  </w:style>
  <w:style w:type="character" w:customStyle="1" w:styleId="Char1">
    <w:name w:val="页脚 Char1"/>
    <w:basedOn w:val="a0"/>
    <w:uiPriority w:val="99"/>
    <w:semiHidden/>
    <w:locked/>
    <w:rsid w:val="009B6F00"/>
    <w:rPr>
      <w:rFonts w:ascii="Times New Roman" w:eastAsia="宋体" w:hAnsi="Times New Roman" w:cs="Times New Roman"/>
      <w:sz w:val="18"/>
      <w:szCs w:val="18"/>
    </w:rPr>
  </w:style>
  <w:style w:type="character" w:customStyle="1" w:styleId="ac">
    <w:name w:val="批注框文本 字符"/>
    <w:basedOn w:val="a0"/>
    <w:link w:val="ab"/>
    <w:semiHidden/>
    <w:locked/>
    <w:rsid w:val="009B6F00"/>
    <w:rPr>
      <w:rFonts w:ascii="Times New Roman" w:eastAsia="宋体" w:hAnsi="Times New Roman" w:cs="Times New Roman"/>
      <w:sz w:val="18"/>
      <w:szCs w:val="18"/>
    </w:rPr>
  </w:style>
  <w:style w:type="character" w:customStyle="1" w:styleId="Char10">
    <w:name w:val="页眉 Char1"/>
    <w:basedOn w:val="a0"/>
    <w:uiPriority w:val="99"/>
    <w:semiHidden/>
    <w:locked/>
    <w:rsid w:val="009B6F00"/>
    <w:rPr>
      <w:rFonts w:ascii="Times New Roman" w:eastAsia="宋体" w:hAnsi="Times New Roman" w:cs="Times New Roman"/>
      <w:sz w:val="18"/>
      <w:szCs w:val="18"/>
    </w:rPr>
  </w:style>
  <w:style w:type="table" w:styleId="ad">
    <w:name w:val="Table Grid"/>
    <w:basedOn w:val="a1"/>
    <w:rsid w:val="009B6F0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2436</Words>
  <Characters>13887</Characters>
  <Application>Microsoft Office Word</Application>
  <DocSecurity>0</DocSecurity>
  <Lines>115</Lines>
  <Paragraphs>32</Paragraphs>
  <ScaleCrop>false</ScaleCrop>
  <Company>china</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刘静</cp:lastModifiedBy>
  <cp:revision>6</cp:revision>
  <cp:lastPrinted>2017-05-04T02:04:00Z</cp:lastPrinted>
  <dcterms:created xsi:type="dcterms:W3CDTF">2017-05-04T01:01:00Z</dcterms:created>
  <dcterms:modified xsi:type="dcterms:W3CDTF">2017-06-20T01:57:00Z</dcterms:modified>
</cp:coreProperties>
</file>